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B55" w:rsidRDefault="00562CF7" w:rsidP="00C37B55">
      <w:pPr>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 xml:space="preserve">INSTRUCTIVO SECTOR </w:t>
      </w:r>
      <w:r w:rsidR="004B0579">
        <w:rPr>
          <w:rFonts w:ascii="Arial Unicode MS" w:eastAsia="Arial Unicode MS" w:hAnsi="Arial Unicode MS" w:cs="Arial Unicode MS"/>
          <w:b/>
          <w:sz w:val="24"/>
          <w:szCs w:val="24"/>
          <w:u w:val="single"/>
        </w:rPr>
        <w:t>CONTADORES</w:t>
      </w:r>
      <w:r w:rsidR="00C37B55">
        <w:rPr>
          <w:rFonts w:ascii="Arial Unicode MS" w:eastAsia="Arial Unicode MS" w:hAnsi="Arial Unicode MS" w:cs="Arial Unicode MS"/>
          <w:b/>
          <w:sz w:val="24"/>
          <w:szCs w:val="24"/>
          <w:u w:val="single"/>
        </w:rPr>
        <w:t xml:space="preserve"> Y OTRAS PERSONAS FÍSICAS O JURÍDICAS</w:t>
      </w:r>
    </w:p>
    <w:p w:rsidR="00545FE1" w:rsidRDefault="00562CF7" w:rsidP="00C37B55">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El presente instructivo tiene por finalidad facilitar el cumplimiento de las obligaciones por parte de los sujetos obligados del sector no financiero. Por lo tanto, se enmarca en lo previsto en la normativa vigente, Ley N° 19.574, de 20 de diciembre de 201</w:t>
      </w:r>
      <w:r w:rsidR="00C37B55">
        <w:rPr>
          <w:rFonts w:ascii="Arial Unicode MS" w:eastAsia="Arial Unicode MS" w:hAnsi="Arial Unicode MS" w:cs="Arial Unicode MS"/>
          <w:sz w:val="24"/>
          <w:szCs w:val="24"/>
        </w:rPr>
        <w:t xml:space="preserve">7 </w:t>
      </w:r>
      <w:r w:rsidR="00BF3B76">
        <w:rPr>
          <w:rFonts w:ascii="Arial Unicode MS" w:eastAsia="Arial Unicode MS" w:hAnsi="Arial Unicode MS" w:cs="Arial Unicode MS"/>
          <w:sz w:val="24"/>
          <w:szCs w:val="24"/>
        </w:rPr>
        <w:t xml:space="preserve">con las modificaciones introducidas por las </w:t>
      </w:r>
      <w:r w:rsidR="00BF3B76" w:rsidRPr="008927F8">
        <w:rPr>
          <w:rFonts w:ascii="Arial Unicode MS" w:eastAsia="Arial Unicode MS" w:hAnsi="Arial Unicode MS" w:cs="Arial Unicode MS"/>
          <w:sz w:val="24"/>
          <w:szCs w:val="24"/>
        </w:rPr>
        <w:t>Ley</w:t>
      </w:r>
      <w:r w:rsidR="00BF3B76">
        <w:rPr>
          <w:rFonts w:ascii="Arial Unicode MS" w:eastAsia="Arial Unicode MS" w:hAnsi="Arial Unicode MS" w:cs="Arial Unicode MS"/>
          <w:sz w:val="24"/>
          <w:szCs w:val="24"/>
        </w:rPr>
        <w:t xml:space="preserve">es Nº 19.670, de 15 de octubre de </w:t>
      </w:r>
      <w:r w:rsidR="00BF3B76" w:rsidRPr="008927F8">
        <w:rPr>
          <w:rFonts w:ascii="Arial Unicode MS" w:eastAsia="Arial Unicode MS" w:hAnsi="Arial Unicode MS" w:cs="Arial Unicode MS"/>
          <w:sz w:val="24"/>
          <w:szCs w:val="24"/>
        </w:rPr>
        <w:t>2018</w:t>
      </w:r>
      <w:r w:rsidR="00BF3B76">
        <w:rPr>
          <w:rFonts w:ascii="Arial Unicode MS" w:eastAsia="Arial Unicode MS" w:hAnsi="Arial Unicode MS" w:cs="Arial Unicode MS"/>
          <w:sz w:val="24"/>
          <w:szCs w:val="24"/>
        </w:rPr>
        <w:t xml:space="preserve"> y 19.889, de 09 de julio de </w:t>
      </w:r>
      <w:r w:rsidR="00BF3B76" w:rsidRPr="008927F8">
        <w:rPr>
          <w:rFonts w:ascii="Arial Unicode MS" w:eastAsia="Arial Unicode MS" w:hAnsi="Arial Unicode MS" w:cs="Arial Unicode MS"/>
          <w:sz w:val="24"/>
          <w:szCs w:val="24"/>
        </w:rPr>
        <w:t>2020</w:t>
      </w:r>
      <w:r w:rsidR="00BF3B76">
        <w:rPr>
          <w:rFonts w:ascii="Arial Unicode MS" w:eastAsia="Arial Unicode MS" w:hAnsi="Arial Unicode MS" w:cs="Arial Unicode MS"/>
          <w:sz w:val="24"/>
          <w:szCs w:val="24"/>
        </w:rPr>
        <w:t xml:space="preserve"> </w:t>
      </w:r>
      <w:r w:rsidR="00C37B55">
        <w:rPr>
          <w:rFonts w:ascii="Arial Unicode MS" w:eastAsia="Arial Unicode MS" w:hAnsi="Arial Unicode MS" w:cs="Arial Unicode MS"/>
          <w:sz w:val="24"/>
          <w:szCs w:val="24"/>
        </w:rPr>
        <w:t xml:space="preserve">y </w:t>
      </w:r>
      <w:r w:rsidR="00BF3B76">
        <w:rPr>
          <w:rFonts w:ascii="Arial Unicode MS" w:eastAsia="Arial Unicode MS" w:hAnsi="Arial Unicode MS" w:cs="Arial Unicode MS"/>
          <w:sz w:val="24"/>
          <w:szCs w:val="24"/>
        </w:rPr>
        <w:t xml:space="preserve">su </w:t>
      </w:r>
      <w:r>
        <w:rPr>
          <w:rFonts w:ascii="Arial Unicode MS" w:eastAsia="Arial Unicode MS" w:hAnsi="Arial Unicode MS" w:cs="Arial Unicode MS"/>
          <w:sz w:val="24"/>
          <w:szCs w:val="24"/>
        </w:rPr>
        <w:t xml:space="preserve">Decreto </w:t>
      </w:r>
      <w:r w:rsidR="00BF3B76">
        <w:rPr>
          <w:rFonts w:ascii="Arial Unicode MS" w:eastAsia="Arial Unicode MS" w:hAnsi="Arial Unicode MS" w:cs="Arial Unicode MS"/>
          <w:sz w:val="24"/>
          <w:szCs w:val="24"/>
        </w:rPr>
        <w:t xml:space="preserve">reglamentario </w:t>
      </w:r>
      <w:r>
        <w:rPr>
          <w:rFonts w:ascii="Arial Unicode MS" w:eastAsia="Arial Unicode MS" w:hAnsi="Arial Unicode MS" w:cs="Arial Unicode MS"/>
          <w:sz w:val="24"/>
          <w:szCs w:val="24"/>
        </w:rPr>
        <w:t>N° 379/018, de 12 de noviembre de 2018.</w:t>
      </w:r>
    </w:p>
    <w:p w:rsidR="00545FE1" w:rsidRDefault="00562CF7">
      <w:pPr>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Sujetos obligados:</w:t>
      </w:r>
    </w:p>
    <w:p w:rsidR="00545FE1" w:rsidRDefault="00A412D3">
      <w:pPr>
        <w:jc w:val="both"/>
        <w:rPr>
          <w:rFonts w:ascii="Arial Unicode MS" w:eastAsia="Arial Unicode MS" w:hAnsi="Arial Unicode MS" w:cs="Arial Unicode MS"/>
          <w:i/>
          <w:sz w:val="24"/>
          <w:szCs w:val="24"/>
        </w:rPr>
      </w:pPr>
      <w:r>
        <w:rPr>
          <w:rFonts w:ascii="Arial Unicode MS" w:eastAsia="Arial Unicode MS" w:hAnsi="Arial Unicode MS" w:cs="Arial Unicode MS"/>
          <w:sz w:val="24"/>
          <w:szCs w:val="24"/>
        </w:rPr>
        <w:t>Dispone e</w:t>
      </w:r>
      <w:r w:rsidR="00C37B55">
        <w:rPr>
          <w:rFonts w:ascii="Arial Unicode MS" w:eastAsia="Arial Unicode MS" w:hAnsi="Arial Unicode MS" w:cs="Arial Unicode MS"/>
          <w:sz w:val="24"/>
          <w:szCs w:val="24"/>
        </w:rPr>
        <w:t xml:space="preserve">l literal </w:t>
      </w:r>
      <w:r w:rsidR="004B0579">
        <w:rPr>
          <w:rFonts w:ascii="Arial Unicode MS" w:eastAsia="Arial Unicode MS" w:hAnsi="Arial Unicode MS" w:cs="Arial Unicode MS"/>
          <w:sz w:val="24"/>
          <w:szCs w:val="24"/>
        </w:rPr>
        <w:t>J</w:t>
      </w:r>
      <w:r w:rsidR="00562CF7">
        <w:rPr>
          <w:rFonts w:ascii="Arial Unicode MS" w:eastAsia="Arial Unicode MS" w:hAnsi="Arial Unicode MS" w:cs="Arial Unicode MS"/>
          <w:sz w:val="24"/>
          <w:szCs w:val="24"/>
        </w:rPr>
        <w:t>)</w:t>
      </w:r>
      <w:r w:rsidR="00CD5B73">
        <w:rPr>
          <w:rFonts w:ascii="Arial Unicode MS" w:eastAsia="Arial Unicode MS" w:hAnsi="Arial Unicode MS" w:cs="Arial Unicode MS"/>
          <w:sz w:val="24"/>
          <w:szCs w:val="24"/>
        </w:rPr>
        <w:t>,</w:t>
      </w:r>
      <w:r w:rsidR="004B0579">
        <w:rPr>
          <w:rFonts w:ascii="Arial Unicode MS" w:eastAsia="Arial Unicode MS" w:hAnsi="Arial Unicode MS" w:cs="Arial Unicode MS"/>
          <w:sz w:val="24"/>
          <w:szCs w:val="24"/>
        </w:rPr>
        <w:t xml:space="preserve"> numerales 1 a 10</w:t>
      </w:r>
      <w:r w:rsidR="00562CF7">
        <w:rPr>
          <w:rFonts w:ascii="Arial Unicode MS" w:eastAsia="Arial Unicode MS" w:hAnsi="Arial Unicode MS" w:cs="Arial Unicode MS"/>
          <w:sz w:val="24"/>
          <w:szCs w:val="24"/>
        </w:rPr>
        <w:t>, de la Ley 19.574</w:t>
      </w:r>
      <w:r>
        <w:rPr>
          <w:rFonts w:ascii="Arial Unicode MS" w:eastAsia="Arial Unicode MS" w:hAnsi="Arial Unicode MS" w:cs="Arial Unicode MS"/>
          <w:sz w:val="24"/>
          <w:szCs w:val="24"/>
        </w:rPr>
        <w:t>,</w:t>
      </w:r>
      <w:r w:rsidR="00562CF7">
        <w:rPr>
          <w:rFonts w:ascii="Arial Unicode MS" w:eastAsia="Arial Unicode MS" w:hAnsi="Arial Unicode MS" w:cs="Arial Unicode MS"/>
          <w:sz w:val="24"/>
          <w:szCs w:val="24"/>
        </w:rPr>
        <w:t xml:space="preserve"> que</w:t>
      </w:r>
      <w:r>
        <w:rPr>
          <w:rFonts w:ascii="Arial Unicode MS" w:eastAsia="Arial Unicode MS" w:hAnsi="Arial Unicode MS" w:cs="Arial Unicode MS"/>
          <w:sz w:val="24"/>
          <w:szCs w:val="24"/>
        </w:rPr>
        <w:t xml:space="preserve"> los </w:t>
      </w:r>
      <w:r w:rsidR="004B0579">
        <w:rPr>
          <w:rFonts w:ascii="Arial Unicode MS" w:eastAsia="Arial Unicode MS" w:hAnsi="Arial Unicode MS" w:cs="Arial Unicode MS"/>
          <w:sz w:val="24"/>
          <w:szCs w:val="24"/>
        </w:rPr>
        <w:t>contadores públicos y</w:t>
      </w:r>
      <w:r w:rsidR="00C37B55">
        <w:rPr>
          <w:rFonts w:ascii="Arial Unicode MS" w:eastAsia="Arial Unicode MS" w:hAnsi="Arial Unicode MS" w:cs="Arial Unicode MS"/>
          <w:sz w:val="24"/>
          <w:szCs w:val="24"/>
        </w:rPr>
        <w:t xml:space="preserve"> otra</w:t>
      </w:r>
      <w:r w:rsidR="004B0579">
        <w:rPr>
          <w:rFonts w:ascii="Arial Unicode MS" w:eastAsia="Arial Unicode MS" w:hAnsi="Arial Unicode MS" w:cs="Arial Unicode MS"/>
          <w:sz w:val="24"/>
          <w:szCs w:val="24"/>
        </w:rPr>
        <w:t>s</w:t>
      </w:r>
      <w:r w:rsidR="00C37B55">
        <w:rPr>
          <w:rFonts w:ascii="Arial Unicode MS" w:eastAsia="Arial Unicode MS" w:hAnsi="Arial Unicode MS" w:cs="Arial Unicode MS"/>
          <w:sz w:val="24"/>
          <w:szCs w:val="24"/>
        </w:rPr>
        <w:t xml:space="preserve"> persona</w:t>
      </w:r>
      <w:r w:rsidR="004B0579">
        <w:rPr>
          <w:rFonts w:ascii="Arial Unicode MS" w:eastAsia="Arial Unicode MS" w:hAnsi="Arial Unicode MS" w:cs="Arial Unicode MS"/>
          <w:sz w:val="24"/>
          <w:szCs w:val="24"/>
        </w:rPr>
        <w:t>s</w:t>
      </w:r>
      <w:r w:rsidR="00C37B55">
        <w:rPr>
          <w:rFonts w:ascii="Arial Unicode MS" w:eastAsia="Arial Unicode MS" w:hAnsi="Arial Unicode MS" w:cs="Arial Unicode MS"/>
          <w:sz w:val="24"/>
          <w:szCs w:val="24"/>
        </w:rPr>
        <w:t xml:space="preserve"> física</w:t>
      </w:r>
      <w:r w:rsidR="004B0579">
        <w:rPr>
          <w:rFonts w:ascii="Arial Unicode MS" w:eastAsia="Arial Unicode MS" w:hAnsi="Arial Unicode MS" w:cs="Arial Unicode MS"/>
          <w:sz w:val="24"/>
          <w:szCs w:val="24"/>
        </w:rPr>
        <w:t>s</w:t>
      </w:r>
      <w:r w:rsidR="00C37B55">
        <w:rPr>
          <w:rFonts w:ascii="Arial Unicode MS" w:eastAsia="Arial Unicode MS" w:hAnsi="Arial Unicode MS" w:cs="Arial Unicode MS"/>
          <w:sz w:val="24"/>
          <w:szCs w:val="24"/>
        </w:rPr>
        <w:t xml:space="preserve"> o jurídica</w:t>
      </w:r>
      <w:r w:rsidR="004B0579">
        <w:rPr>
          <w:rFonts w:ascii="Arial Unicode MS" w:eastAsia="Arial Unicode MS" w:hAnsi="Arial Unicode MS" w:cs="Arial Unicode MS"/>
          <w:sz w:val="24"/>
          <w:szCs w:val="24"/>
        </w:rPr>
        <w:t>s</w:t>
      </w:r>
      <w:r w:rsidR="00AE7377">
        <w:rPr>
          <w:rFonts w:ascii="Arial Unicode MS" w:eastAsia="Arial Unicode MS" w:hAnsi="Arial Unicode MS" w:cs="Arial Unicode MS"/>
          <w:sz w:val="24"/>
          <w:szCs w:val="24"/>
        </w:rPr>
        <w:t>,</w:t>
      </w:r>
      <w:r w:rsidR="00C37B55">
        <w:rPr>
          <w:rFonts w:ascii="Arial Unicode MS" w:eastAsia="Arial Unicode MS" w:hAnsi="Arial Unicode MS" w:cs="Arial Unicode MS"/>
          <w:sz w:val="24"/>
          <w:szCs w:val="24"/>
        </w:rPr>
        <w:t xml:space="preserve"> </w:t>
      </w:r>
      <w:r w:rsidR="004B0579">
        <w:rPr>
          <w:rFonts w:ascii="Arial Unicode MS" w:eastAsia="Arial Unicode MS" w:hAnsi="Arial Unicode MS" w:cs="Arial Unicode MS"/>
          <w:sz w:val="24"/>
          <w:szCs w:val="24"/>
        </w:rPr>
        <w:t>que actúen en ca</w:t>
      </w:r>
      <w:r w:rsidR="00AE7377">
        <w:rPr>
          <w:rFonts w:ascii="Arial Unicode MS" w:eastAsia="Arial Unicode MS" w:hAnsi="Arial Unicode MS" w:cs="Arial Unicode MS"/>
          <w:sz w:val="24"/>
          <w:szCs w:val="24"/>
        </w:rPr>
        <w:t xml:space="preserve">lidad de independientes, </w:t>
      </w:r>
      <w:r w:rsidR="00562CF7">
        <w:rPr>
          <w:rFonts w:ascii="Arial Unicode MS" w:eastAsia="Arial Unicode MS" w:hAnsi="Arial Unicode MS" w:cs="Arial Unicode MS"/>
          <w:sz w:val="24"/>
          <w:szCs w:val="24"/>
        </w:rPr>
        <w:t xml:space="preserve">son sujetos obligados no financieros </w:t>
      </w:r>
      <w:r w:rsidR="00CD5B73">
        <w:rPr>
          <w:rFonts w:ascii="Arial Unicode MS" w:eastAsia="Arial Unicode MS" w:hAnsi="Arial Unicode MS" w:cs="Arial Unicode MS"/>
          <w:sz w:val="24"/>
          <w:szCs w:val="24"/>
        </w:rPr>
        <w:t xml:space="preserve">cuando </w:t>
      </w:r>
      <w:r w:rsidR="00C37B55">
        <w:rPr>
          <w:rFonts w:ascii="Arial Unicode MS" w:eastAsia="Arial Unicode MS" w:hAnsi="Arial Unicode MS" w:cs="Arial Unicode MS"/>
          <w:sz w:val="24"/>
          <w:szCs w:val="24"/>
        </w:rPr>
        <w:t>participen en la realización de las operaciones</w:t>
      </w:r>
      <w:r w:rsidR="00562CF7">
        <w:rPr>
          <w:rFonts w:ascii="Arial Unicode MS" w:eastAsia="Arial Unicode MS" w:hAnsi="Arial Unicode MS" w:cs="Arial Unicode MS"/>
          <w:sz w:val="24"/>
          <w:szCs w:val="24"/>
        </w:rPr>
        <w:t xml:space="preserve"> </w:t>
      </w:r>
      <w:r w:rsidR="00AE7377">
        <w:rPr>
          <w:rFonts w:ascii="Arial Unicode MS" w:eastAsia="Arial Unicode MS" w:hAnsi="Arial Unicode MS" w:cs="Arial Unicode MS"/>
          <w:sz w:val="24"/>
          <w:szCs w:val="24"/>
        </w:rPr>
        <w:t xml:space="preserve">o actividades </w:t>
      </w:r>
      <w:r w:rsidR="00562CF7">
        <w:rPr>
          <w:rFonts w:ascii="Arial Unicode MS" w:eastAsia="Arial Unicode MS" w:hAnsi="Arial Unicode MS" w:cs="Arial Unicode MS"/>
          <w:sz w:val="24"/>
          <w:szCs w:val="24"/>
        </w:rPr>
        <w:t>específicamente enumeradas por la norma</w:t>
      </w:r>
      <w:r w:rsidR="00C37B55">
        <w:rPr>
          <w:rFonts w:ascii="Arial Unicode MS" w:eastAsia="Arial Unicode MS" w:hAnsi="Arial Unicode MS" w:cs="Arial Unicode MS"/>
          <w:sz w:val="24"/>
          <w:szCs w:val="24"/>
        </w:rPr>
        <w:t>,</w:t>
      </w:r>
      <w:r w:rsidR="00C37B55" w:rsidRPr="00C37B55">
        <w:rPr>
          <w:rFonts w:ascii="Arial Unicode MS" w:eastAsia="Arial Unicode MS" w:hAnsi="Arial Unicode MS" w:cs="Arial Unicode MS"/>
          <w:sz w:val="24"/>
          <w:szCs w:val="24"/>
        </w:rPr>
        <w:t xml:space="preserve"> </w:t>
      </w:r>
      <w:r w:rsidR="00C37B55">
        <w:rPr>
          <w:rFonts w:ascii="Arial Unicode MS" w:eastAsia="Arial Unicode MS" w:hAnsi="Arial Unicode MS" w:cs="Arial Unicode MS"/>
          <w:sz w:val="24"/>
          <w:szCs w:val="24"/>
        </w:rPr>
        <w:t>para sus clientes</w:t>
      </w:r>
      <w:r w:rsidR="00562CF7">
        <w:rPr>
          <w:rFonts w:ascii="Arial Unicode MS" w:eastAsia="Arial Unicode MS" w:hAnsi="Arial Unicode MS" w:cs="Arial Unicode MS"/>
          <w:sz w:val="24"/>
          <w:szCs w:val="24"/>
        </w:rPr>
        <w:t xml:space="preserve">. Cabe subrayar, que se encuentra excluida expresamente del control del sistema de prevención, la actividad de asesoramiento que los mencionados profesionales pueden desarrollar para sus clientes.  </w:t>
      </w:r>
    </w:p>
    <w:p w:rsidR="00AE7377" w:rsidRPr="00AE7377" w:rsidRDefault="00A412D3" w:rsidP="00AE7377">
      <w:pPr>
        <w:jc w:val="both"/>
        <w:rPr>
          <w:rFonts w:ascii="Arial Unicode MS" w:eastAsia="Arial Unicode MS" w:hAnsi="Arial Unicode MS" w:cs="Arial Unicode MS"/>
          <w:i/>
          <w:sz w:val="24"/>
          <w:szCs w:val="24"/>
        </w:rPr>
      </w:pPr>
      <w:r>
        <w:rPr>
          <w:rFonts w:ascii="Arial Unicode MS" w:eastAsia="Arial Unicode MS" w:hAnsi="Arial Unicode MS" w:cs="Arial Unicode MS"/>
          <w:sz w:val="24"/>
          <w:szCs w:val="24"/>
        </w:rPr>
        <w:t>Establece el</w:t>
      </w:r>
      <w:r w:rsidR="00562CF7">
        <w:rPr>
          <w:rFonts w:ascii="Arial Unicode MS" w:eastAsia="Arial Unicode MS" w:hAnsi="Arial Unicode MS" w:cs="Arial Unicode MS"/>
          <w:sz w:val="24"/>
          <w:szCs w:val="24"/>
        </w:rPr>
        <w:t xml:space="preserve"> artículo </w:t>
      </w:r>
      <w:r w:rsidR="00C37B55">
        <w:rPr>
          <w:rFonts w:ascii="Arial Unicode MS" w:eastAsia="Arial Unicode MS" w:hAnsi="Arial Unicode MS" w:cs="Arial Unicode MS"/>
          <w:sz w:val="24"/>
          <w:szCs w:val="24"/>
        </w:rPr>
        <w:t>4</w:t>
      </w:r>
      <w:r w:rsidR="00AE7377">
        <w:rPr>
          <w:rFonts w:ascii="Arial Unicode MS" w:eastAsia="Arial Unicode MS" w:hAnsi="Arial Unicode MS" w:cs="Arial Unicode MS"/>
          <w:sz w:val="24"/>
          <w:szCs w:val="24"/>
        </w:rPr>
        <w:t>1</w:t>
      </w:r>
      <w:r>
        <w:rPr>
          <w:rFonts w:ascii="Arial Unicode MS" w:eastAsia="Arial Unicode MS" w:hAnsi="Arial Unicode MS" w:cs="Arial Unicode MS"/>
          <w:b/>
          <w:sz w:val="24"/>
          <w:szCs w:val="24"/>
        </w:rPr>
        <w:t xml:space="preserve"> </w:t>
      </w:r>
      <w:r>
        <w:rPr>
          <w:rFonts w:ascii="Arial Unicode MS" w:eastAsia="Arial Unicode MS" w:hAnsi="Arial Unicode MS" w:cs="Arial Unicode MS"/>
          <w:sz w:val="24"/>
          <w:szCs w:val="24"/>
        </w:rPr>
        <w:t>del Decreto 379/018 que</w:t>
      </w:r>
      <w:r w:rsidR="005872A5">
        <w:rPr>
          <w:rFonts w:ascii="Arial Unicode MS" w:eastAsia="Arial Unicode MS" w:hAnsi="Arial Unicode MS" w:cs="Arial Unicode MS"/>
          <w:sz w:val="24"/>
          <w:szCs w:val="24"/>
        </w:rPr>
        <w:t>:</w:t>
      </w:r>
      <w:r>
        <w:rPr>
          <w:rFonts w:ascii="Arial Unicode MS" w:eastAsia="Arial Unicode MS" w:hAnsi="Arial Unicode MS" w:cs="Arial Unicode MS"/>
          <w:sz w:val="24"/>
          <w:szCs w:val="24"/>
        </w:rPr>
        <w:t xml:space="preserve"> </w:t>
      </w:r>
      <w:r w:rsidR="00AE7377" w:rsidRPr="00AE7377">
        <w:rPr>
          <w:rFonts w:ascii="Arial Unicode MS" w:eastAsia="Arial Unicode MS" w:hAnsi="Arial Unicode MS" w:cs="Arial Unicode MS"/>
          <w:i/>
          <w:sz w:val="24"/>
          <w:szCs w:val="24"/>
        </w:rPr>
        <w:t xml:space="preserve">“Deberán cumplir e implementar las disposiciones del presente decreto y las instrucciones que emitan cuando corresponda, la Secretaría Nacional para la Lucha contra el Lavado de Activos y el Financiamiento del Terrorismo y el Banco Central del Uruguay, los contadores públicos y otras personas físicas o jurídicas, que actúen en calidad de independientes y que participen en la realización de las siguientes operaciones o </w:t>
      </w:r>
      <w:r w:rsidR="00AE7377" w:rsidRPr="00AE7377">
        <w:rPr>
          <w:rFonts w:ascii="Arial Unicode MS" w:eastAsia="Arial Unicode MS" w:hAnsi="Arial Unicode MS" w:cs="Arial Unicode MS"/>
          <w:i/>
          <w:sz w:val="24"/>
          <w:szCs w:val="24"/>
        </w:rPr>
        <w:lastRenderedPageBreak/>
        <w:t xml:space="preserve">actividades para sus clientes y en ningún caso por cualquier tipo de asesoramiento que les presten: </w:t>
      </w:r>
    </w:p>
    <w:p w:rsidR="00AE7377" w:rsidRPr="00AE7377" w:rsidRDefault="00AE7377" w:rsidP="00AE7377">
      <w:pPr>
        <w:jc w:val="both"/>
        <w:rPr>
          <w:rFonts w:ascii="Arial Unicode MS" w:eastAsia="Arial Unicode MS" w:hAnsi="Arial Unicode MS" w:cs="Arial Unicode MS"/>
          <w:i/>
          <w:sz w:val="24"/>
          <w:szCs w:val="24"/>
        </w:rPr>
      </w:pPr>
      <w:r w:rsidRPr="00AE7377">
        <w:rPr>
          <w:rFonts w:ascii="Arial Unicode MS" w:eastAsia="Arial Unicode MS" w:hAnsi="Arial Unicode MS" w:cs="Arial Unicode MS"/>
          <w:i/>
          <w:sz w:val="24"/>
          <w:szCs w:val="24"/>
        </w:rPr>
        <w:t>A) Actuación por cuenta y orden de sus clientes en promesas, cesiones de promesas o compraventas de bienes inmuebles.</w:t>
      </w:r>
    </w:p>
    <w:p w:rsidR="00AE7377" w:rsidRPr="00AE7377" w:rsidRDefault="00AE7377" w:rsidP="00AE7377">
      <w:pPr>
        <w:jc w:val="both"/>
        <w:rPr>
          <w:rFonts w:ascii="Arial Unicode MS" w:eastAsia="Arial Unicode MS" w:hAnsi="Arial Unicode MS" w:cs="Arial Unicode MS"/>
          <w:i/>
          <w:sz w:val="24"/>
          <w:szCs w:val="24"/>
        </w:rPr>
      </w:pPr>
      <w:r w:rsidRPr="00AE7377">
        <w:rPr>
          <w:rFonts w:ascii="Arial Unicode MS" w:eastAsia="Arial Unicode MS" w:hAnsi="Arial Unicode MS" w:cs="Arial Unicode MS"/>
          <w:i/>
          <w:sz w:val="24"/>
          <w:szCs w:val="24"/>
        </w:rPr>
        <w:t xml:space="preserve">B) Administración del dinero, valores u otros activos del </w:t>
      </w:r>
      <w:proofErr w:type="gramStart"/>
      <w:r w:rsidRPr="00AE7377">
        <w:rPr>
          <w:rFonts w:ascii="Arial Unicode MS" w:eastAsia="Arial Unicode MS" w:hAnsi="Arial Unicode MS" w:cs="Arial Unicode MS"/>
          <w:i/>
          <w:sz w:val="24"/>
          <w:szCs w:val="24"/>
        </w:rPr>
        <w:t>cliente,  excluyéndose</w:t>
      </w:r>
      <w:proofErr w:type="gramEnd"/>
      <w:r w:rsidRPr="00AE7377">
        <w:rPr>
          <w:rFonts w:ascii="Arial Unicode MS" w:eastAsia="Arial Unicode MS" w:hAnsi="Arial Unicode MS" w:cs="Arial Unicode MS"/>
          <w:i/>
          <w:sz w:val="24"/>
          <w:szCs w:val="24"/>
        </w:rPr>
        <w:t xml:space="preserve"> los fondos recibidos para el pago de obligaciones tributarias o gastos similares. </w:t>
      </w:r>
    </w:p>
    <w:p w:rsidR="00AE7377" w:rsidRPr="00AE7377" w:rsidRDefault="00AE7377" w:rsidP="00AE7377">
      <w:pPr>
        <w:jc w:val="both"/>
        <w:rPr>
          <w:rFonts w:ascii="Arial Unicode MS" w:eastAsia="Arial Unicode MS" w:hAnsi="Arial Unicode MS" w:cs="Arial Unicode MS"/>
          <w:i/>
          <w:sz w:val="24"/>
          <w:szCs w:val="24"/>
        </w:rPr>
      </w:pPr>
      <w:r w:rsidRPr="00AE7377">
        <w:rPr>
          <w:rFonts w:ascii="Arial Unicode MS" w:eastAsia="Arial Unicode MS" w:hAnsi="Arial Unicode MS" w:cs="Arial Unicode MS"/>
          <w:i/>
          <w:sz w:val="24"/>
          <w:szCs w:val="24"/>
        </w:rPr>
        <w:t xml:space="preserve">C) Administración de cuentas bancarias, de ahorro o </w:t>
      </w:r>
      <w:proofErr w:type="gramStart"/>
      <w:r w:rsidRPr="00AE7377">
        <w:rPr>
          <w:rFonts w:ascii="Arial Unicode MS" w:eastAsia="Arial Unicode MS" w:hAnsi="Arial Unicode MS" w:cs="Arial Unicode MS"/>
          <w:i/>
          <w:sz w:val="24"/>
          <w:szCs w:val="24"/>
        </w:rPr>
        <w:t>valores,  excluyéndose</w:t>
      </w:r>
      <w:proofErr w:type="gramEnd"/>
      <w:r w:rsidRPr="00AE7377">
        <w:rPr>
          <w:rFonts w:ascii="Arial Unicode MS" w:eastAsia="Arial Unicode MS" w:hAnsi="Arial Unicode MS" w:cs="Arial Unicode MS"/>
          <w:i/>
          <w:sz w:val="24"/>
          <w:szCs w:val="24"/>
        </w:rPr>
        <w:t xml:space="preserve"> los fondos recibidos para el pago de obligaciones tributarias o gastos similares. </w:t>
      </w:r>
    </w:p>
    <w:p w:rsidR="00AE7377" w:rsidRPr="00AE7377" w:rsidRDefault="00AE7377" w:rsidP="00AE7377">
      <w:pPr>
        <w:jc w:val="both"/>
        <w:rPr>
          <w:rFonts w:ascii="Arial Unicode MS" w:eastAsia="Arial Unicode MS" w:hAnsi="Arial Unicode MS" w:cs="Arial Unicode MS"/>
          <w:i/>
          <w:sz w:val="24"/>
          <w:szCs w:val="24"/>
        </w:rPr>
      </w:pPr>
      <w:r w:rsidRPr="00AE7377">
        <w:rPr>
          <w:rFonts w:ascii="Arial Unicode MS" w:eastAsia="Arial Unicode MS" w:hAnsi="Arial Unicode MS" w:cs="Arial Unicode MS"/>
          <w:i/>
          <w:sz w:val="24"/>
          <w:szCs w:val="24"/>
        </w:rPr>
        <w:t>D) Organización de aportes para la creación, operación o administración de sociedades.</w:t>
      </w:r>
    </w:p>
    <w:p w:rsidR="00AE7377" w:rsidRPr="00AE7377" w:rsidRDefault="00AE7377" w:rsidP="00AE7377">
      <w:pPr>
        <w:jc w:val="both"/>
        <w:rPr>
          <w:rFonts w:ascii="Arial Unicode MS" w:eastAsia="Arial Unicode MS" w:hAnsi="Arial Unicode MS" w:cs="Arial Unicode MS"/>
          <w:i/>
          <w:sz w:val="24"/>
          <w:szCs w:val="24"/>
        </w:rPr>
      </w:pPr>
      <w:r w:rsidRPr="00AE7377">
        <w:rPr>
          <w:rFonts w:ascii="Arial Unicode MS" w:eastAsia="Arial Unicode MS" w:hAnsi="Arial Unicode MS" w:cs="Arial Unicode MS"/>
          <w:i/>
          <w:sz w:val="24"/>
          <w:szCs w:val="24"/>
        </w:rPr>
        <w:t>E) Creación, operación o administración de personas jurídicas, fondos de inversión u otros patrimonios de afectación.</w:t>
      </w:r>
    </w:p>
    <w:p w:rsidR="00AE7377" w:rsidRPr="00AE7377" w:rsidRDefault="00AE7377" w:rsidP="00AE7377">
      <w:pPr>
        <w:jc w:val="both"/>
        <w:rPr>
          <w:rFonts w:ascii="Arial Unicode MS" w:eastAsia="Arial Unicode MS" w:hAnsi="Arial Unicode MS" w:cs="Arial Unicode MS"/>
          <w:i/>
          <w:sz w:val="24"/>
          <w:szCs w:val="24"/>
        </w:rPr>
      </w:pPr>
      <w:r w:rsidRPr="00AE7377">
        <w:rPr>
          <w:rFonts w:ascii="Arial Unicode MS" w:eastAsia="Arial Unicode MS" w:hAnsi="Arial Unicode MS" w:cs="Arial Unicode MS"/>
          <w:i/>
          <w:sz w:val="24"/>
          <w:szCs w:val="24"/>
        </w:rPr>
        <w:t>F) Actuación por cuenta y orden de sus clientes en promesas, cesiones de promesas o compraventa de establecimientos comerciales.</w:t>
      </w:r>
    </w:p>
    <w:p w:rsidR="00AE7377" w:rsidRPr="00AE7377" w:rsidRDefault="00AE7377" w:rsidP="00AE7377">
      <w:pPr>
        <w:jc w:val="both"/>
        <w:rPr>
          <w:rFonts w:ascii="Arial Unicode MS" w:eastAsia="Arial Unicode MS" w:hAnsi="Arial Unicode MS" w:cs="Arial Unicode MS"/>
          <w:i/>
          <w:sz w:val="24"/>
          <w:szCs w:val="24"/>
        </w:rPr>
      </w:pPr>
      <w:r w:rsidRPr="00AE7377">
        <w:rPr>
          <w:rFonts w:ascii="Arial Unicode MS" w:eastAsia="Arial Unicode MS" w:hAnsi="Arial Unicode MS" w:cs="Arial Unicode MS"/>
          <w:i/>
          <w:sz w:val="24"/>
          <w:szCs w:val="24"/>
        </w:rPr>
        <w:t>G) Actuación por cuenta y orden de clientes en cualquier operación financiera o inmobiliaria.</w:t>
      </w:r>
    </w:p>
    <w:p w:rsidR="00AE7377" w:rsidRPr="00AE7377" w:rsidRDefault="00AE7377" w:rsidP="00AE7377">
      <w:pPr>
        <w:jc w:val="both"/>
        <w:rPr>
          <w:rFonts w:ascii="Arial Unicode MS" w:eastAsia="Arial Unicode MS" w:hAnsi="Arial Unicode MS" w:cs="Arial Unicode MS"/>
          <w:i/>
          <w:sz w:val="24"/>
          <w:szCs w:val="24"/>
        </w:rPr>
      </w:pPr>
      <w:r w:rsidRPr="00AE7377">
        <w:rPr>
          <w:rFonts w:ascii="Arial Unicode MS" w:eastAsia="Arial Unicode MS" w:hAnsi="Arial Unicode MS" w:cs="Arial Unicode MS"/>
          <w:i/>
          <w:sz w:val="24"/>
          <w:szCs w:val="24"/>
        </w:rPr>
        <w:t>H) Las actividades descriptas en el artículo 77 del presente decreto.</w:t>
      </w:r>
    </w:p>
    <w:p w:rsidR="00AE7377" w:rsidRPr="00AE7377" w:rsidRDefault="00AE7377" w:rsidP="00AE7377">
      <w:pPr>
        <w:jc w:val="both"/>
        <w:rPr>
          <w:rFonts w:ascii="Arial Unicode MS" w:eastAsia="Arial Unicode MS" w:hAnsi="Arial Unicode MS" w:cs="Arial Unicode MS"/>
          <w:i/>
          <w:sz w:val="24"/>
          <w:szCs w:val="24"/>
        </w:rPr>
      </w:pPr>
      <w:r w:rsidRPr="00AE7377">
        <w:rPr>
          <w:rFonts w:ascii="Arial Unicode MS" w:eastAsia="Arial Unicode MS" w:hAnsi="Arial Unicode MS" w:cs="Arial Unicode MS"/>
          <w:i/>
          <w:sz w:val="24"/>
          <w:szCs w:val="24"/>
        </w:rPr>
        <w:t xml:space="preserve">I) Confección de informes de revisión limitada de estados contables, siempre y cuando el ente sujeto a revisión cumpla con al menos una de las siguientes condiciones: a) Que su facturación anual entendida como las ventas netas de devoluciones y/o bonificaciones, excluido el Impuesto al Valor Agregado, supere </w:t>
      </w:r>
      <w:r w:rsidRPr="00AE7377">
        <w:rPr>
          <w:rFonts w:ascii="Arial Unicode MS" w:eastAsia="Arial Unicode MS" w:hAnsi="Arial Unicode MS" w:cs="Arial Unicode MS"/>
          <w:i/>
          <w:sz w:val="24"/>
          <w:szCs w:val="24"/>
        </w:rPr>
        <w:lastRenderedPageBreak/>
        <w:t>las U.I. 75.000.000 en el ejercicio anual. b) Que su endeudamiento total con entidades controladas por el Banco Central del Uruguay, en cualquier momento del ejercicio, sea mayor o igual a U.I. 19.500.000.</w:t>
      </w:r>
      <w:r w:rsidRPr="00AE7377" w:rsidDel="00322BC1">
        <w:rPr>
          <w:rFonts w:ascii="Arial Unicode MS" w:eastAsia="Arial Unicode MS" w:hAnsi="Arial Unicode MS" w:cs="Arial Unicode MS"/>
          <w:i/>
          <w:sz w:val="24"/>
          <w:szCs w:val="24"/>
        </w:rPr>
        <w:t xml:space="preserve"> </w:t>
      </w:r>
    </w:p>
    <w:p w:rsidR="00AE7377" w:rsidRPr="00AE7377" w:rsidRDefault="00AE7377" w:rsidP="00AE7377">
      <w:pPr>
        <w:jc w:val="both"/>
        <w:rPr>
          <w:rFonts w:ascii="Arial Unicode MS" w:eastAsia="Arial Unicode MS" w:hAnsi="Arial Unicode MS" w:cs="Arial Unicode MS"/>
          <w:i/>
          <w:sz w:val="24"/>
          <w:szCs w:val="24"/>
        </w:rPr>
      </w:pPr>
      <w:r w:rsidRPr="00AE7377">
        <w:rPr>
          <w:rFonts w:ascii="Arial Unicode MS" w:eastAsia="Arial Unicode MS" w:hAnsi="Arial Unicode MS" w:cs="Arial Unicode MS"/>
          <w:i/>
          <w:sz w:val="24"/>
          <w:szCs w:val="24"/>
        </w:rPr>
        <w:t>Se entiende por ingresos a las ventas de bienes de cambio y prestación de servicios netos de devoluciones y/o bonificaciones, excluido el Impuesto al Valor Agregado.</w:t>
      </w:r>
    </w:p>
    <w:p w:rsidR="00AE7377" w:rsidRPr="00AE7377" w:rsidRDefault="00AE7377" w:rsidP="00AE7377">
      <w:pPr>
        <w:jc w:val="both"/>
        <w:rPr>
          <w:rFonts w:ascii="Arial Unicode MS" w:eastAsia="Arial Unicode MS" w:hAnsi="Arial Unicode MS" w:cs="Arial Unicode MS"/>
          <w:i/>
          <w:sz w:val="24"/>
          <w:szCs w:val="24"/>
        </w:rPr>
      </w:pPr>
      <w:r w:rsidRPr="00AE7377">
        <w:rPr>
          <w:rFonts w:ascii="Arial Unicode MS" w:eastAsia="Arial Unicode MS" w:hAnsi="Arial Unicode MS" w:cs="Arial Unicode MS"/>
          <w:i/>
          <w:sz w:val="24"/>
          <w:szCs w:val="24"/>
        </w:rPr>
        <w:t>J) Confección de informes de auditoría de estados contables.</w:t>
      </w:r>
    </w:p>
    <w:p w:rsidR="00AE7377" w:rsidRPr="00AE7377" w:rsidRDefault="00AE7377" w:rsidP="00AE7377">
      <w:pPr>
        <w:jc w:val="both"/>
        <w:rPr>
          <w:rFonts w:ascii="Arial Unicode MS" w:eastAsia="Arial Unicode MS" w:hAnsi="Arial Unicode MS" w:cs="Arial Unicode MS"/>
          <w:i/>
          <w:sz w:val="24"/>
          <w:szCs w:val="24"/>
        </w:rPr>
      </w:pPr>
      <w:r w:rsidRPr="00AE7377">
        <w:rPr>
          <w:rFonts w:ascii="Arial Unicode MS" w:eastAsia="Arial Unicode MS" w:hAnsi="Arial Unicode MS" w:cs="Arial Unicode MS"/>
          <w:i/>
          <w:sz w:val="24"/>
          <w:szCs w:val="24"/>
        </w:rPr>
        <w:t>En atención a que la confección de informes de revisión limitada de estados contables y la confección de informes de auditoría de estados contables no tienen por objetivo la identificación de transacciones inusuales o sospechosas relacionadas con la prevención de los delitos de lavado de activos y financiamiento del terrorismo, se establece a título expreso que la responsabilidad de reportar dichas transacciones, de acuerdo con lo dispuesto en los numerales 9) y 10) del literal J) del artículo 13 de la Ley N° 19.574, de 20 de diciembre de 2017, se refiere únicamente a aquellas situaciones de las cuales el profesional involucrado pueda tomar conocimiento en el marco de la realización del correspondiente trabajo profesional sobre los estados contables, no debiendo ejecutar tareas adicionales específicas vinculadas con la prevención del lavado de activos y financiamiento del terrorismo, sin perjuicio del cumplimiento de las medidas de debida diligencia de clientes que correspondan.</w:t>
      </w:r>
    </w:p>
    <w:p w:rsidR="00AE7377" w:rsidRPr="00AE7377" w:rsidRDefault="00AE7377" w:rsidP="00AE7377">
      <w:pPr>
        <w:jc w:val="both"/>
        <w:rPr>
          <w:rFonts w:ascii="Arial Unicode MS" w:eastAsia="Arial Unicode MS" w:hAnsi="Arial Unicode MS" w:cs="Arial Unicode MS"/>
          <w:i/>
          <w:sz w:val="24"/>
          <w:szCs w:val="24"/>
        </w:rPr>
      </w:pPr>
      <w:r w:rsidRPr="00AE7377">
        <w:rPr>
          <w:rFonts w:ascii="Arial Unicode MS" w:eastAsia="Arial Unicode MS" w:hAnsi="Arial Unicode MS" w:cs="Arial Unicode MS"/>
          <w:i/>
          <w:sz w:val="24"/>
          <w:szCs w:val="24"/>
        </w:rPr>
        <w:t xml:space="preserve">Los contadores públicos que no participen en la realización de al menos una de las actividades señaladas precedentemente en los literales A) a J), no ostentarán </w:t>
      </w:r>
      <w:r w:rsidRPr="00AE7377">
        <w:rPr>
          <w:rFonts w:ascii="Arial Unicode MS" w:eastAsia="Arial Unicode MS" w:hAnsi="Arial Unicode MS" w:cs="Arial Unicode MS"/>
          <w:i/>
          <w:sz w:val="24"/>
          <w:szCs w:val="24"/>
        </w:rPr>
        <w:lastRenderedPageBreak/>
        <w:t xml:space="preserve">la calidad de sujetos obligados. No obstante, la misma se activa inmediatamente a que realicen alguna de las actividades descriptas. </w:t>
      </w:r>
    </w:p>
    <w:p w:rsidR="00AE7377" w:rsidRPr="00AE7377" w:rsidRDefault="00AE7377" w:rsidP="00AE7377">
      <w:pPr>
        <w:jc w:val="both"/>
        <w:rPr>
          <w:rFonts w:ascii="Arial Unicode MS" w:eastAsia="Arial Unicode MS" w:hAnsi="Arial Unicode MS" w:cs="Arial Unicode MS"/>
          <w:i/>
          <w:sz w:val="24"/>
          <w:szCs w:val="24"/>
        </w:rPr>
      </w:pPr>
      <w:r w:rsidRPr="00AE7377">
        <w:rPr>
          <w:rFonts w:ascii="Arial Unicode MS" w:eastAsia="Arial Unicode MS" w:hAnsi="Arial Unicode MS" w:cs="Arial Unicode MS"/>
          <w:i/>
          <w:sz w:val="24"/>
          <w:szCs w:val="24"/>
        </w:rPr>
        <w:t>La actuación en calidad de independiente comprende tanto al trabajador que actúa por cuenta propia como al empleador o patrón que habiendo asumido un compromiso con su cliente contrate a otro profesional independiente en quien delegue la ejecución de las actividades, excluyendo en todo caso a quienes se encuentran en relación de dependencia y a los contadores independientes que actúen al servicio de otro profesional ejecutando las tareas que le fueron delegadas, sin perjuicio de la responsabilidad que sea imputable a los dependientes o a estos últimos en caso que no cumplan las normas para prevenir y combatir el lavado de activos y el financiamiento del terrorismo, establecidas por los propietarios, socios o principales de la firma o empresa de que se trate, la que no exime al sujeto obligado de la eventual responsabilidad que pudiera corresponder.</w:t>
      </w:r>
    </w:p>
    <w:p w:rsidR="00AE7377" w:rsidRPr="00AE7377" w:rsidRDefault="00AE7377" w:rsidP="00AE7377">
      <w:pPr>
        <w:jc w:val="both"/>
        <w:rPr>
          <w:rFonts w:ascii="Arial Unicode MS" w:eastAsia="Arial Unicode MS" w:hAnsi="Arial Unicode MS" w:cs="Arial Unicode MS"/>
          <w:i/>
          <w:sz w:val="24"/>
          <w:szCs w:val="24"/>
        </w:rPr>
      </w:pPr>
      <w:r w:rsidRPr="00AE7377">
        <w:rPr>
          <w:rFonts w:ascii="Arial Unicode MS" w:eastAsia="Arial Unicode MS" w:hAnsi="Arial Unicode MS" w:cs="Arial Unicode MS"/>
          <w:i/>
          <w:sz w:val="24"/>
          <w:szCs w:val="24"/>
        </w:rPr>
        <w:t>En caso de que el profesional esté organizado como sociedad profesional, cuando se trate del servicio de confección de informes de revisión limitada de estados contables y/o de auditoría de estados contables, el sujeto obligado será el profesional firmante del respectivo informe.”</w:t>
      </w:r>
    </w:p>
    <w:p w:rsidR="00545FE1" w:rsidRDefault="00562CF7" w:rsidP="00E15820">
      <w:pPr>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Debida Diligencia de Cliente:</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anexan al presente documento </w:t>
      </w:r>
      <w:r w:rsidR="006D5810">
        <w:rPr>
          <w:rFonts w:ascii="Arial Unicode MS" w:eastAsia="Arial Unicode MS" w:hAnsi="Arial Unicode MS" w:cs="Arial Unicode MS"/>
          <w:sz w:val="24"/>
          <w:szCs w:val="24"/>
        </w:rPr>
        <w:t xml:space="preserve">seis </w:t>
      </w:r>
      <w:r>
        <w:rPr>
          <w:rFonts w:ascii="Arial Unicode MS" w:eastAsia="Arial Unicode MS" w:hAnsi="Arial Unicode MS" w:cs="Arial Unicode MS"/>
          <w:sz w:val="24"/>
          <w:szCs w:val="24"/>
        </w:rPr>
        <w:t xml:space="preserve">formularios o guías, </w:t>
      </w:r>
      <w:r w:rsidR="006D5810">
        <w:rPr>
          <w:rFonts w:ascii="Arial Unicode MS" w:eastAsia="Arial Unicode MS" w:hAnsi="Arial Unicode MS" w:cs="Arial Unicode MS"/>
          <w:sz w:val="24"/>
          <w:szCs w:val="24"/>
        </w:rPr>
        <w:t xml:space="preserve">dos de ellos para </w:t>
      </w:r>
      <w:r>
        <w:rPr>
          <w:rFonts w:ascii="Arial Unicode MS" w:eastAsia="Arial Unicode MS" w:hAnsi="Arial Unicode MS" w:cs="Arial Unicode MS"/>
          <w:sz w:val="24"/>
          <w:szCs w:val="24"/>
        </w:rPr>
        <w:t xml:space="preserve">Debida Diligencia Simplificada </w:t>
      </w:r>
      <w:r w:rsidR="006D5810">
        <w:rPr>
          <w:rFonts w:ascii="Arial Unicode MS" w:eastAsia="Arial Unicode MS" w:hAnsi="Arial Unicode MS" w:cs="Arial Unicode MS"/>
          <w:sz w:val="24"/>
          <w:szCs w:val="24"/>
        </w:rPr>
        <w:t xml:space="preserve">según sea Persona Física o Jurídica, dos para </w:t>
      </w:r>
      <w:r>
        <w:rPr>
          <w:rFonts w:ascii="Arial Unicode MS" w:eastAsia="Arial Unicode MS" w:hAnsi="Arial Unicode MS" w:cs="Arial Unicode MS"/>
          <w:sz w:val="24"/>
          <w:szCs w:val="24"/>
        </w:rPr>
        <w:t>Debida Diligencia Normal</w:t>
      </w:r>
      <w:r w:rsidR="006D5810">
        <w:rPr>
          <w:rFonts w:ascii="Arial Unicode MS" w:eastAsia="Arial Unicode MS" w:hAnsi="Arial Unicode MS" w:cs="Arial Unicode MS"/>
          <w:sz w:val="24"/>
          <w:szCs w:val="24"/>
        </w:rPr>
        <w:t xml:space="preserve"> sea Persona Física o Jurídica</w:t>
      </w:r>
      <w:r>
        <w:rPr>
          <w:rFonts w:ascii="Arial Unicode MS" w:eastAsia="Arial Unicode MS" w:hAnsi="Arial Unicode MS" w:cs="Arial Unicode MS"/>
          <w:sz w:val="24"/>
          <w:szCs w:val="24"/>
        </w:rPr>
        <w:t xml:space="preserve"> y </w:t>
      </w:r>
      <w:r w:rsidR="006D5810">
        <w:rPr>
          <w:rFonts w:ascii="Arial Unicode MS" w:eastAsia="Arial Unicode MS" w:hAnsi="Arial Unicode MS" w:cs="Arial Unicode MS"/>
          <w:sz w:val="24"/>
          <w:szCs w:val="24"/>
        </w:rPr>
        <w:t xml:space="preserve">otros dos formularios para </w:t>
      </w:r>
      <w:r>
        <w:rPr>
          <w:rFonts w:ascii="Arial Unicode MS" w:eastAsia="Arial Unicode MS" w:hAnsi="Arial Unicode MS" w:cs="Arial Unicode MS"/>
          <w:sz w:val="24"/>
          <w:szCs w:val="24"/>
        </w:rPr>
        <w:t>Debida Diligencia Intensificada</w:t>
      </w:r>
      <w:r w:rsidR="006D5810" w:rsidRPr="006D5810">
        <w:rPr>
          <w:rFonts w:ascii="Arial Unicode MS" w:eastAsia="Arial Unicode MS" w:hAnsi="Arial Unicode MS" w:cs="Arial Unicode MS"/>
          <w:sz w:val="24"/>
          <w:szCs w:val="24"/>
        </w:rPr>
        <w:t xml:space="preserve"> </w:t>
      </w:r>
      <w:r w:rsidR="006D5810">
        <w:rPr>
          <w:rFonts w:ascii="Arial Unicode MS" w:eastAsia="Arial Unicode MS" w:hAnsi="Arial Unicode MS" w:cs="Arial Unicode MS"/>
          <w:sz w:val="24"/>
          <w:szCs w:val="24"/>
        </w:rPr>
        <w:t>según sea Persona Física o Jurídica,</w:t>
      </w:r>
      <w:r w:rsidR="00CC3655">
        <w:rPr>
          <w:rFonts w:ascii="Arial Unicode MS" w:eastAsia="Arial Unicode MS" w:hAnsi="Arial Unicode MS" w:cs="Arial Unicode MS"/>
          <w:sz w:val="24"/>
          <w:szCs w:val="24"/>
        </w:rPr>
        <w:t xml:space="preserve"> </w:t>
      </w:r>
      <w:r w:rsidR="00CC3655" w:rsidRPr="00C37B55">
        <w:rPr>
          <w:rFonts w:ascii="Arial Unicode MS" w:eastAsia="Arial Unicode MS" w:hAnsi="Arial Unicode MS" w:cs="Arial Unicode MS"/>
          <w:sz w:val="24"/>
          <w:szCs w:val="24"/>
        </w:rPr>
        <w:t>l</w:t>
      </w:r>
      <w:r w:rsidR="006D5810" w:rsidRPr="00C37B55">
        <w:rPr>
          <w:rFonts w:ascii="Arial Unicode MS" w:eastAsia="Arial Unicode MS" w:hAnsi="Arial Unicode MS" w:cs="Arial Unicode MS"/>
          <w:sz w:val="24"/>
          <w:szCs w:val="24"/>
        </w:rPr>
        <w:t>o</w:t>
      </w:r>
      <w:r w:rsidR="00CC3655" w:rsidRPr="00C37B55">
        <w:rPr>
          <w:rFonts w:ascii="Arial Unicode MS" w:eastAsia="Arial Unicode MS" w:hAnsi="Arial Unicode MS" w:cs="Arial Unicode MS"/>
          <w:sz w:val="24"/>
          <w:szCs w:val="24"/>
        </w:rPr>
        <w:t xml:space="preserve">s cuales </w:t>
      </w:r>
      <w:r w:rsidR="00CC3655" w:rsidRPr="00C37B55">
        <w:rPr>
          <w:rFonts w:ascii="Arial Unicode MS" w:eastAsia="Arial Unicode MS" w:hAnsi="Arial Unicode MS" w:cs="Arial Unicode MS"/>
          <w:sz w:val="24"/>
          <w:szCs w:val="24"/>
        </w:rPr>
        <w:lastRenderedPageBreak/>
        <w:t>operar</w:t>
      </w:r>
      <w:r w:rsidR="006D5810" w:rsidRPr="00C37B55">
        <w:rPr>
          <w:rFonts w:ascii="Arial Unicode MS" w:eastAsia="Arial Unicode MS" w:hAnsi="Arial Unicode MS" w:cs="Arial Unicode MS"/>
          <w:sz w:val="24"/>
          <w:szCs w:val="24"/>
        </w:rPr>
        <w:t>á</w:t>
      </w:r>
      <w:r w:rsidR="00CC3655" w:rsidRPr="00C37B55">
        <w:rPr>
          <w:rFonts w:ascii="Arial Unicode MS" w:eastAsia="Arial Unicode MS" w:hAnsi="Arial Unicode MS" w:cs="Arial Unicode MS"/>
          <w:sz w:val="24"/>
          <w:szCs w:val="24"/>
        </w:rPr>
        <w:t xml:space="preserve">n en función del riesgo que se le asigne al cliente </w:t>
      </w:r>
      <w:r w:rsidR="00E57B1E" w:rsidRPr="00C37B55">
        <w:rPr>
          <w:rFonts w:ascii="Arial Unicode MS" w:eastAsia="Arial Unicode MS" w:hAnsi="Arial Unicode MS" w:cs="Arial Unicode MS"/>
          <w:sz w:val="24"/>
          <w:szCs w:val="24"/>
        </w:rPr>
        <w:t>y/u</w:t>
      </w:r>
      <w:r w:rsidR="00CC3655" w:rsidRPr="00C37B55">
        <w:rPr>
          <w:rFonts w:ascii="Arial Unicode MS" w:eastAsia="Arial Unicode MS" w:hAnsi="Arial Unicode MS" w:cs="Arial Unicode MS"/>
          <w:sz w:val="24"/>
          <w:szCs w:val="24"/>
        </w:rPr>
        <w:t xml:space="preserve"> operación</w:t>
      </w:r>
      <w:r w:rsidR="00CC3655">
        <w:rPr>
          <w:rFonts w:ascii="Arial Unicode MS" w:eastAsia="Arial Unicode MS" w:hAnsi="Arial Unicode MS" w:cs="Arial Unicode MS"/>
          <w:sz w:val="24"/>
          <w:szCs w:val="24"/>
        </w:rPr>
        <w:t>,</w:t>
      </w:r>
      <w:r>
        <w:rPr>
          <w:rFonts w:ascii="Arial Unicode MS" w:eastAsia="Arial Unicode MS" w:hAnsi="Arial Unicode MS" w:cs="Arial Unicode MS"/>
          <w:sz w:val="24"/>
          <w:szCs w:val="24"/>
        </w:rPr>
        <w:t xml:space="preserve"> señalándose que su uso corresponde de la siguiente manera: </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Ante una situación de riesgo bajo, se debe utilizar el formulario de debida diligencia simplificada</w:t>
      </w:r>
      <w:r w:rsidR="00CD5B73" w:rsidRPr="00CD5B73">
        <w:rPr>
          <w:rFonts w:ascii="Arial Unicode MS" w:eastAsia="Arial Unicode MS" w:hAnsi="Arial Unicode MS" w:cs="Arial Unicode MS"/>
          <w:sz w:val="24"/>
          <w:szCs w:val="24"/>
        </w:rPr>
        <w:t xml:space="preserve"> </w:t>
      </w:r>
      <w:r w:rsidR="00CD5B73">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Ante una situación de riesgo normal, </w:t>
      </w:r>
      <w:r w:rsidR="00CD5B73">
        <w:rPr>
          <w:rFonts w:ascii="Arial Unicode MS" w:eastAsia="Arial Unicode MS" w:hAnsi="Arial Unicode MS" w:cs="Arial Unicode MS"/>
          <w:sz w:val="24"/>
          <w:szCs w:val="24"/>
        </w:rPr>
        <w:t xml:space="preserve">se debe </w:t>
      </w:r>
      <w:r>
        <w:rPr>
          <w:rFonts w:ascii="Arial Unicode MS" w:eastAsia="Arial Unicode MS" w:hAnsi="Arial Unicode MS" w:cs="Arial Unicode MS"/>
          <w:sz w:val="24"/>
          <w:szCs w:val="24"/>
        </w:rPr>
        <w:t>utilizar el formulario de debida diligencia normal</w:t>
      </w:r>
      <w:r w:rsidR="00CD5B73" w:rsidRPr="00CD5B73">
        <w:rPr>
          <w:rFonts w:ascii="Arial Unicode MS" w:eastAsia="Arial Unicode MS" w:hAnsi="Arial Unicode MS" w:cs="Arial Unicode MS"/>
          <w:sz w:val="24"/>
          <w:szCs w:val="24"/>
        </w:rPr>
        <w:t xml:space="preserve"> </w:t>
      </w:r>
      <w:r w:rsidR="00CD5B73">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Ante una situación de riesgo alto, se debe utilizar el formulario de debida diligencia intensificada</w:t>
      </w:r>
      <w:r w:rsidR="00CD5B73" w:rsidRPr="00CD5B73">
        <w:rPr>
          <w:rFonts w:ascii="Arial Unicode MS" w:eastAsia="Arial Unicode MS" w:hAnsi="Arial Unicode MS" w:cs="Arial Unicode MS"/>
          <w:sz w:val="24"/>
          <w:szCs w:val="24"/>
        </w:rPr>
        <w:t xml:space="preserve"> </w:t>
      </w:r>
      <w:r w:rsidR="00CD5B73">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Puede suceder, </w:t>
      </w:r>
      <w:proofErr w:type="gramStart"/>
      <w:r>
        <w:rPr>
          <w:rFonts w:ascii="Arial Unicode MS" w:eastAsia="Arial Unicode MS" w:hAnsi="Arial Unicode MS" w:cs="Arial Unicode MS"/>
          <w:sz w:val="24"/>
          <w:szCs w:val="24"/>
        </w:rPr>
        <w:t>que</w:t>
      </w:r>
      <w:proofErr w:type="gramEnd"/>
      <w:r>
        <w:rPr>
          <w:rFonts w:ascii="Arial Unicode MS" w:eastAsia="Arial Unicode MS" w:hAnsi="Arial Unicode MS" w:cs="Arial Unicode MS"/>
          <w:sz w:val="24"/>
          <w:szCs w:val="24"/>
        </w:rPr>
        <w:t xml:space="preserve"> al completar el formulario de debida diligencia simple o normal, el sujeto obligado entienda que existe algún nuevo elemento que implique que el riesgo ya no sea el mismo; de ser así, se deberá completar el formulario correspondiente a la nueva situación de riesgo o solicitar en adición al formulario ya completado, los datos faltantes que fueren requeridos por el formulario que correspondería aplicar ante esta nueva situación. </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aclara que, la </w:t>
      </w:r>
      <w:proofErr w:type="spellStart"/>
      <w:r>
        <w:rPr>
          <w:rFonts w:ascii="Arial Unicode MS" w:eastAsia="Arial Unicode MS" w:hAnsi="Arial Unicode MS" w:cs="Arial Unicode MS"/>
          <w:sz w:val="24"/>
          <w:szCs w:val="24"/>
        </w:rPr>
        <w:t>Senaclaft</w:t>
      </w:r>
      <w:proofErr w:type="spellEnd"/>
      <w:r>
        <w:rPr>
          <w:rFonts w:ascii="Arial Unicode MS" w:eastAsia="Arial Unicode MS" w:hAnsi="Arial Unicode MS" w:cs="Arial Unicode MS"/>
          <w:sz w:val="24"/>
          <w:szCs w:val="24"/>
        </w:rPr>
        <w:t xml:space="preserve"> elaboró estos formularios o guías como una ayuda para el sujeto obligado y los avala, pero no son de existencia obligatoria, ya que lo importante es que la debida diligencia de cliente contenga los datos requeridos por la normativa vigente ante cada situación de riesgo. </w:t>
      </w:r>
    </w:p>
    <w:p w:rsidR="00BF3B76" w:rsidRDefault="00BF3B76" w:rsidP="00BF3B76">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recuerda que el sujeto obligado deberá conservar la documentación </w:t>
      </w:r>
      <w:proofErr w:type="spellStart"/>
      <w:r>
        <w:rPr>
          <w:rFonts w:ascii="Arial Unicode MS" w:eastAsia="Arial Unicode MS" w:hAnsi="Arial Unicode MS" w:cs="Arial Unicode MS"/>
          <w:sz w:val="24"/>
          <w:szCs w:val="24"/>
        </w:rPr>
        <w:t>respaldante</w:t>
      </w:r>
      <w:proofErr w:type="spellEnd"/>
      <w:r>
        <w:rPr>
          <w:rFonts w:ascii="Arial Unicode MS" w:eastAsia="Arial Unicode MS" w:hAnsi="Arial Unicode MS" w:cs="Arial Unicode MS"/>
          <w:sz w:val="24"/>
          <w:szCs w:val="24"/>
        </w:rPr>
        <w:t xml:space="preserve"> conforme a lo dispuesto por la normativa vigente, lo que se encuentra indicado en el formulario respectivo en caso de corresponder. </w:t>
      </w:r>
    </w:p>
    <w:p w:rsidR="004A1220" w:rsidRDefault="004A1220" w:rsidP="00BF3B76">
      <w:pPr>
        <w:jc w:val="both"/>
        <w:rPr>
          <w:rFonts w:ascii="Arial Unicode MS" w:eastAsia="Arial Unicode MS" w:hAnsi="Arial Unicode MS" w:cs="Arial Unicode MS"/>
          <w:sz w:val="24"/>
          <w:szCs w:val="24"/>
        </w:rPr>
      </w:pPr>
    </w:p>
    <w:p w:rsidR="00545FE1" w:rsidRDefault="00562CF7">
      <w:pPr>
        <w:jc w:val="both"/>
        <w:rPr>
          <w:b/>
          <w:bCs/>
        </w:rPr>
      </w:pPr>
      <w:r>
        <w:rPr>
          <w:rFonts w:ascii="Arial Unicode MS" w:eastAsia="Arial Unicode MS" w:hAnsi="Arial Unicode MS" w:cs="Arial Unicode MS"/>
          <w:b/>
          <w:bCs/>
          <w:sz w:val="24"/>
          <w:szCs w:val="24"/>
        </w:rPr>
        <w:lastRenderedPageBreak/>
        <w:t>¿Cómo determinar si se está ante una situación de riesgo bajo, alto o normal?</w:t>
      </w:r>
    </w:p>
    <w:p w:rsidR="00545FE1" w:rsidRDefault="00CD5B73">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Se debe</w:t>
      </w:r>
      <w:r w:rsidR="00562CF7">
        <w:rPr>
          <w:rFonts w:ascii="Arial Unicode MS" w:eastAsia="Arial Unicode MS" w:hAnsi="Arial Unicode MS" w:cs="Arial Unicode MS"/>
          <w:sz w:val="24"/>
          <w:szCs w:val="24"/>
        </w:rPr>
        <w:t xml:space="preserve"> determinar </w:t>
      </w:r>
      <w:r>
        <w:rPr>
          <w:rFonts w:ascii="Arial Unicode MS" w:eastAsia="Arial Unicode MS" w:hAnsi="Arial Unicode MS" w:cs="Arial Unicode MS"/>
          <w:sz w:val="24"/>
          <w:szCs w:val="24"/>
        </w:rPr>
        <w:t xml:space="preserve">mediante </w:t>
      </w:r>
      <w:r w:rsidR="00562CF7">
        <w:rPr>
          <w:rFonts w:ascii="Arial Unicode MS" w:eastAsia="Arial Unicode MS" w:hAnsi="Arial Unicode MS" w:cs="Arial Unicode MS"/>
          <w:sz w:val="24"/>
          <w:szCs w:val="24"/>
        </w:rPr>
        <w:t xml:space="preserve">un </w:t>
      </w:r>
      <w:r w:rsidR="00562CF7">
        <w:rPr>
          <w:rFonts w:ascii="Arial Unicode MS" w:eastAsia="Arial Unicode MS" w:hAnsi="Arial Unicode MS" w:cs="Arial Unicode MS"/>
          <w:b/>
          <w:bCs/>
          <w:sz w:val="24"/>
          <w:szCs w:val="24"/>
        </w:rPr>
        <w:t xml:space="preserve">Análisis de Riesgo del Cliente que debe realizar </w:t>
      </w:r>
      <w:r>
        <w:rPr>
          <w:rFonts w:ascii="Arial Unicode MS" w:eastAsia="Arial Unicode MS" w:hAnsi="Arial Unicode MS" w:cs="Arial Unicode MS"/>
          <w:b/>
          <w:bCs/>
          <w:sz w:val="24"/>
          <w:szCs w:val="24"/>
        </w:rPr>
        <w:t xml:space="preserve">previamente </w:t>
      </w:r>
      <w:r w:rsidR="00562CF7">
        <w:rPr>
          <w:rFonts w:ascii="Arial Unicode MS" w:eastAsia="Arial Unicode MS" w:hAnsi="Arial Unicode MS" w:cs="Arial Unicode MS"/>
          <w:b/>
          <w:bCs/>
          <w:sz w:val="24"/>
          <w:szCs w:val="24"/>
        </w:rPr>
        <w:t>el sujeto obligado</w:t>
      </w:r>
      <w:r>
        <w:rPr>
          <w:rFonts w:ascii="Arial Unicode MS" w:eastAsia="Arial Unicode MS" w:hAnsi="Arial Unicode MS" w:cs="Arial Unicode MS"/>
          <w:sz w:val="24"/>
          <w:szCs w:val="24"/>
        </w:rPr>
        <w:t>, atendiendo a</w:t>
      </w:r>
      <w:r w:rsidR="00562CF7">
        <w:rPr>
          <w:rFonts w:ascii="Arial Unicode MS" w:eastAsia="Arial Unicode MS" w:hAnsi="Arial Unicode MS" w:cs="Arial Unicode MS"/>
          <w:sz w:val="24"/>
          <w:szCs w:val="24"/>
        </w:rPr>
        <w:t xml:space="preserve"> la posibilidad</w:t>
      </w:r>
      <w:r>
        <w:rPr>
          <w:rFonts w:ascii="Arial Unicode MS" w:eastAsia="Arial Unicode MS" w:hAnsi="Arial Unicode MS" w:cs="Arial Unicode MS"/>
          <w:sz w:val="24"/>
          <w:szCs w:val="24"/>
        </w:rPr>
        <w:t xml:space="preserve"> </w:t>
      </w:r>
      <w:r w:rsidR="00562CF7">
        <w:rPr>
          <w:rFonts w:ascii="Arial Unicode MS" w:eastAsia="Arial Unicode MS" w:hAnsi="Arial Unicode MS" w:cs="Arial Unicode MS"/>
          <w:sz w:val="24"/>
          <w:szCs w:val="24"/>
        </w:rPr>
        <w:t>de ser utilizado directa o indirectamente a través de sus actividades y operaciones como instrumento para cometer el delito de lavado de activos, el financiamiento del terrorismo y la proliferación de armas de destrucción masiva. En este sentido la normativa cuenta con tres clasificaciones de riesgo que se enumeran a continuación.</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t>Riesgo Bajo</w:t>
      </w:r>
      <w:r>
        <w:rPr>
          <w:rFonts w:ascii="Arial Unicode MS" w:eastAsia="Arial Unicode MS" w:hAnsi="Arial Unicode MS" w:cs="Arial Unicode MS"/>
          <w:sz w:val="24"/>
          <w:szCs w:val="24"/>
        </w:rPr>
        <w:t xml:space="preserve">: </w:t>
      </w:r>
      <w:r w:rsidR="00BF3B76">
        <w:rPr>
          <w:rFonts w:ascii="Arial Unicode MS" w:eastAsia="Arial Unicode MS" w:hAnsi="Arial Unicode MS" w:cs="Arial Unicode MS"/>
          <w:sz w:val="24"/>
          <w:szCs w:val="24"/>
        </w:rPr>
        <w:t>Cuando la normativa vigente lo establece, así como cuando d</w:t>
      </w:r>
      <w:r>
        <w:rPr>
          <w:rFonts w:ascii="Arial Unicode MS" w:eastAsia="Arial Unicode MS" w:hAnsi="Arial Unicode MS" w:cs="Arial Unicode MS"/>
          <w:sz w:val="24"/>
          <w:szCs w:val="24"/>
        </w:rPr>
        <w:t>e acuerdo al conocimiento, experiencia o práctica de la actividad que se desarrolla, el sujeto obligado entiende que el cliente, producto u operación comporta un riesgo reducido de lavado de activos, financiamiento del terrorismo y proliferación de armas de destrucción masiva.</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t>Riesgo Alto</w:t>
      </w:r>
      <w:r>
        <w:rPr>
          <w:rFonts w:ascii="Arial Unicode MS" w:eastAsia="Arial Unicode MS" w:hAnsi="Arial Unicode MS" w:cs="Arial Unicode MS"/>
          <w:sz w:val="24"/>
          <w:szCs w:val="24"/>
        </w:rPr>
        <w:t xml:space="preserve">: A </w:t>
      </w:r>
      <w:proofErr w:type="gramStart"/>
      <w:r>
        <w:rPr>
          <w:rFonts w:ascii="Arial Unicode MS" w:eastAsia="Arial Unicode MS" w:hAnsi="Arial Unicode MS" w:cs="Arial Unicode MS"/>
          <w:sz w:val="24"/>
          <w:szCs w:val="24"/>
        </w:rPr>
        <w:t>continuación</w:t>
      </w:r>
      <w:proofErr w:type="gramEnd"/>
      <w:r>
        <w:rPr>
          <w:rFonts w:ascii="Arial Unicode MS" w:eastAsia="Arial Unicode MS" w:hAnsi="Arial Unicode MS" w:cs="Arial Unicode MS"/>
          <w:sz w:val="24"/>
          <w:szCs w:val="24"/>
        </w:rPr>
        <w:t xml:space="preserve"> se exponen algunas situaciones referidas a clientes, relaciones comerciales u operaciones que se consideran de riesgo alto, dado que la normativa lo indica en forma expresa (artículo 13 del Decreto 379/018), pero no excluyente.  Es decir que podrían existir conforme al leal saber del sujeto obligado otros elementos o situaciones concretas que le adviertan que el riesgo es igualmente alto. </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y operaciones con clientes no residentes que provengan de países que no son miembros del Grupo de Acción Financiera Internacional (GAFI), o de alguno de los grupos regionales de similar naturaleza, como ser: Grupo de Acción Financiera de Latinoamérica (</w:t>
      </w:r>
      <w:proofErr w:type="spellStart"/>
      <w:r>
        <w:rPr>
          <w:rFonts w:ascii="Arial Unicode MS" w:eastAsia="Arial Unicode MS" w:hAnsi="Arial Unicode MS" w:cs="Arial Unicode MS"/>
          <w:sz w:val="24"/>
          <w:szCs w:val="24"/>
        </w:rPr>
        <w:t>Gafilat</w:t>
      </w:r>
      <w:proofErr w:type="spellEnd"/>
      <w:r>
        <w:rPr>
          <w:rFonts w:ascii="Arial Unicode MS" w:eastAsia="Arial Unicode MS" w:hAnsi="Arial Unicode MS" w:cs="Arial Unicode MS"/>
          <w:sz w:val="24"/>
          <w:szCs w:val="24"/>
        </w:rPr>
        <w:t>), Grupo de Acción Financiera del Caribe (</w:t>
      </w:r>
      <w:proofErr w:type="spellStart"/>
      <w:r>
        <w:rPr>
          <w:rFonts w:ascii="Arial Unicode MS" w:eastAsia="Arial Unicode MS" w:hAnsi="Arial Unicode MS" w:cs="Arial Unicode MS"/>
          <w:sz w:val="24"/>
          <w:szCs w:val="24"/>
        </w:rPr>
        <w:t>Gafic</w:t>
      </w:r>
      <w:proofErr w:type="spellEnd"/>
      <w:r>
        <w:rPr>
          <w:rFonts w:ascii="Arial Unicode MS" w:eastAsia="Arial Unicode MS" w:hAnsi="Arial Unicode MS" w:cs="Arial Unicode MS"/>
          <w:sz w:val="24"/>
          <w:szCs w:val="24"/>
        </w:rPr>
        <w:t xml:space="preserve">), Grupo de prevención del blanqueo de capitales de África del </w:t>
      </w:r>
      <w:r>
        <w:rPr>
          <w:rFonts w:ascii="Arial Unicode MS" w:eastAsia="Arial Unicode MS" w:hAnsi="Arial Unicode MS" w:cs="Arial Unicode MS"/>
          <w:sz w:val="24"/>
          <w:szCs w:val="24"/>
        </w:rPr>
        <w:lastRenderedPageBreak/>
        <w:t>Sur y del Este (</w:t>
      </w:r>
      <w:proofErr w:type="spellStart"/>
      <w:r>
        <w:rPr>
          <w:rFonts w:ascii="Arial Unicode MS" w:eastAsia="Arial Unicode MS" w:hAnsi="Arial Unicode MS" w:cs="Arial Unicode MS"/>
          <w:sz w:val="24"/>
          <w:szCs w:val="24"/>
        </w:rPr>
        <w:t>Menafatf</w:t>
      </w:r>
      <w:proofErr w:type="spellEnd"/>
      <w:r>
        <w:rPr>
          <w:rFonts w:ascii="Arial Unicode MS" w:eastAsia="Arial Unicode MS" w:hAnsi="Arial Unicode MS" w:cs="Arial Unicode MS"/>
          <w:sz w:val="24"/>
          <w:szCs w:val="24"/>
        </w:rPr>
        <w:t>) y Grupo Asia/Pacífico en materia de Blanqueo de Capitales (APG); o de países que estén siendo objeto de medidas especiales por parte de estos grupos por no aplicar las recomendaciones del GAFI o no aplicarlas suficientemente.</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y operaciones con clientes no residentes que provengan de países sujetos a sanciones o contramedidas financieras emitidas por organismos como el Consejo de Seguridad de Naciones Unidas.</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y operaciones con personas físicas o jurídicas residentes, domiciliadas, constituidas o ubicadas en países, jurisdicciones o regímenes especiales de baja o nula tributación, de acuerdo con la lista que emite la Dirección General Impositiva.</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Operaciones que no impliquen la presencia física de las partes o de quienes los representen.</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Utilización de tecnologías nuevas o en desarrollo que favorezcan el anonimato en las transacciones.</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Personas Políticamente Expuestas, su cónyuge, concubino y sus parientes por consanguinidad o afinidad hasta el segundo grado, así como los asociados cercanos a ellas cuando estos sean de público conocimiento y quienes realicen operaciones en su nombre.</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w:t>
      </w:r>
      <w:r w:rsidR="00033C37" w:rsidRPr="00F75595">
        <w:rPr>
          <w:rFonts w:ascii="Arial Unicode MS" w:eastAsia="Arial Unicode MS" w:hAnsi="Arial Unicode MS" w:cs="Arial Unicode MS"/>
          <w:sz w:val="24"/>
          <w:szCs w:val="24"/>
        </w:rPr>
        <w:t>Negocios en que se utilizan cuantías elevadas de efectivo.</w:t>
      </w:r>
      <w:r w:rsidR="00815822" w:rsidRPr="00815822">
        <w:rPr>
          <w:rFonts w:ascii="Arial Unicode MS" w:eastAsia="Arial Unicode MS" w:hAnsi="Arial Unicode MS" w:cs="Arial Unicode MS" w:hint="eastAsia"/>
          <w:sz w:val="24"/>
          <w:szCs w:val="24"/>
        </w:rPr>
        <w:t xml:space="preserve"> </w:t>
      </w:r>
      <w:r w:rsidR="00815822">
        <w:rPr>
          <w:rFonts w:ascii="Arial Unicode MS" w:eastAsia="Arial Unicode MS" w:hAnsi="Arial Unicode MS" w:cs="Arial Unicode MS" w:hint="eastAsia"/>
          <w:sz w:val="24"/>
          <w:szCs w:val="24"/>
        </w:rPr>
        <w:t xml:space="preserve">Asimismo, cuando lleven a cabo para sus clientes las operaciones descriptas en los literales A) y F) </w:t>
      </w:r>
      <w:r w:rsidR="00815822">
        <w:rPr>
          <w:rFonts w:ascii="Arial Unicode MS" w:eastAsia="Arial Unicode MS" w:hAnsi="Arial Unicode MS" w:cs="Arial Unicode MS" w:hint="eastAsia"/>
          <w:sz w:val="24"/>
          <w:szCs w:val="24"/>
        </w:rPr>
        <w:lastRenderedPageBreak/>
        <w:t>del artículo 4</w:t>
      </w:r>
      <w:r w:rsidR="00815822">
        <w:rPr>
          <w:rFonts w:ascii="Arial Unicode MS" w:eastAsia="Arial Unicode MS" w:hAnsi="Arial Unicode MS" w:cs="Arial Unicode MS"/>
          <w:sz w:val="24"/>
          <w:szCs w:val="24"/>
        </w:rPr>
        <w:t>1</w:t>
      </w:r>
      <w:r w:rsidR="00815822">
        <w:rPr>
          <w:rFonts w:ascii="Arial Unicode MS" w:eastAsia="Arial Unicode MS" w:hAnsi="Arial Unicode MS" w:cs="Arial Unicode MS" w:hint="eastAsia"/>
          <w:sz w:val="24"/>
          <w:szCs w:val="24"/>
        </w:rPr>
        <w:t xml:space="preserve"> del Decreto 379/018 y en la operación se utilice efectivo, cualquiera sea su monto, según lo previsto en el artículo 47 del mencionado decreto</w:t>
      </w:r>
      <w:r w:rsidR="00815822">
        <w:rPr>
          <w:rFonts w:ascii="Arial Unicode MS" w:eastAsia="Arial Unicode MS" w:hAnsi="Arial Unicode MS" w:cs="Arial Unicode MS"/>
          <w:sz w:val="24"/>
          <w:szCs w:val="24"/>
        </w:rPr>
        <w:t>.</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Personas jurídicas con acciones al portador, en caso que existan dificultades para identificar el beneficiario final a través de información incluida en un Registro Oficial.</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Los fideicomisos cuya estructura aparente ser inusual o excesivamente compleja, para determinar su estructura de control y sus beneficiarios finales.</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que se realizan en circunstancias inusuales conforme a los usos y costumbres de la respectiva actividad.</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Otras situaciones </w:t>
      </w:r>
      <w:proofErr w:type="gramStart"/>
      <w:r>
        <w:rPr>
          <w:rFonts w:ascii="Arial Unicode MS" w:eastAsia="Arial Unicode MS" w:hAnsi="Arial Unicode MS" w:cs="Arial Unicode MS"/>
          <w:sz w:val="24"/>
          <w:szCs w:val="24"/>
        </w:rPr>
        <w:t>que</w:t>
      </w:r>
      <w:proofErr w:type="gramEnd"/>
      <w:r>
        <w:rPr>
          <w:rFonts w:ascii="Arial Unicode MS" w:eastAsia="Arial Unicode MS" w:hAnsi="Arial Unicode MS" w:cs="Arial Unicode MS"/>
          <w:sz w:val="24"/>
          <w:szCs w:val="24"/>
        </w:rPr>
        <w:t xml:space="preserve"> conforme al análisis de riesgos elaborado por el sujeto obligado, resulten ser de mayor riesgo y por tanto requieran la aplicación de medidas de debida diligencia intensificada.</w:t>
      </w:r>
    </w:p>
    <w:p w:rsidR="008C6179"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t>Riesgo normal:</w:t>
      </w:r>
      <w:r>
        <w:rPr>
          <w:rFonts w:ascii="Arial Unicode MS" w:eastAsia="Arial Unicode MS" w:hAnsi="Arial Unicode MS" w:cs="Arial Unicode MS"/>
          <w:sz w:val="24"/>
          <w:szCs w:val="24"/>
        </w:rPr>
        <w:t xml:space="preserve"> De acuerdo a su conocimiento o experiencia, el sujeto obligado entiende que el cliente, producto u operación es adecuado a la práctica ordinaria de la actividad que desarrolla, sea por sus propias características o por el hecho de no existir elementos que indiquen que se está ante una situación de riesgo bajo o alto de lavado de activos, financiamiento del terrorismo y proliferación de armas de destrucción masiva.</w:t>
      </w:r>
    </w:p>
    <w:p w:rsidR="008C6179" w:rsidRDefault="008C6179" w:rsidP="008C6179">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Asimismo, dicho </w:t>
      </w:r>
      <w:r>
        <w:rPr>
          <w:rFonts w:ascii="Arial Unicode MS" w:eastAsia="Arial Unicode MS" w:hAnsi="Arial Unicode MS" w:cs="Arial Unicode MS"/>
          <w:b/>
          <w:sz w:val="24"/>
          <w:szCs w:val="24"/>
        </w:rPr>
        <w:t>A</w:t>
      </w:r>
      <w:r w:rsidRPr="00A130A1">
        <w:rPr>
          <w:rFonts w:ascii="Arial Unicode MS" w:eastAsia="Arial Unicode MS" w:hAnsi="Arial Unicode MS" w:cs="Arial Unicode MS"/>
          <w:b/>
          <w:sz w:val="24"/>
          <w:szCs w:val="24"/>
        </w:rPr>
        <w:t xml:space="preserve">nálisis de </w:t>
      </w:r>
      <w:r>
        <w:rPr>
          <w:rFonts w:ascii="Arial Unicode MS" w:eastAsia="Arial Unicode MS" w:hAnsi="Arial Unicode MS" w:cs="Arial Unicode MS"/>
          <w:b/>
          <w:sz w:val="24"/>
          <w:szCs w:val="24"/>
        </w:rPr>
        <w:t>R</w:t>
      </w:r>
      <w:r w:rsidRPr="00A130A1">
        <w:rPr>
          <w:rFonts w:ascii="Arial Unicode MS" w:eastAsia="Arial Unicode MS" w:hAnsi="Arial Unicode MS" w:cs="Arial Unicode MS"/>
          <w:b/>
          <w:sz w:val="24"/>
          <w:szCs w:val="24"/>
        </w:rPr>
        <w:t>iesgo</w:t>
      </w:r>
      <w:r>
        <w:rPr>
          <w:rFonts w:ascii="Arial Unicode MS" w:eastAsia="Arial Unicode MS" w:hAnsi="Arial Unicode MS" w:cs="Arial Unicode MS"/>
          <w:sz w:val="24"/>
          <w:szCs w:val="24"/>
        </w:rPr>
        <w:t>, tal como lo establece el artículo 16 de la Ley N° 19.574 y el artículo 4 del Decreto N° 379/018</w:t>
      </w:r>
      <w:r w:rsidRPr="00286B0F">
        <w:rPr>
          <w:rFonts w:ascii="Arial Unicode MS" w:eastAsia="Arial Unicode MS" w:hAnsi="Arial Unicode MS" w:cs="Arial Unicode MS"/>
          <w:sz w:val="24"/>
          <w:szCs w:val="24"/>
        </w:rPr>
        <w:t xml:space="preserve">, </w:t>
      </w:r>
      <w:r>
        <w:rPr>
          <w:rFonts w:ascii="Arial Unicode MS" w:eastAsia="Arial Unicode MS" w:hAnsi="Arial Unicode MS" w:cs="Arial Unicode MS"/>
          <w:b/>
          <w:sz w:val="24"/>
          <w:szCs w:val="24"/>
          <w:u w:val="single"/>
        </w:rPr>
        <w:t xml:space="preserve">deberá documentarse </w:t>
      </w:r>
      <w:r w:rsidRPr="00286B0F">
        <w:rPr>
          <w:rFonts w:ascii="Arial Unicode MS" w:eastAsia="Arial Unicode MS" w:hAnsi="Arial Unicode MS" w:cs="Arial Unicode MS"/>
          <w:b/>
          <w:sz w:val="24"/>
          <w:szCs w:val="24"/>
          <w:u w:val="single"/>
        </w:rPr>
        <w:t>por escrito</w:t>
      </w:r>
      <w:r>
        <w:rPr>
          <w:rFonts w:ascii="Arial Unicode MS" w:eastAsia="Arial Unicode MS" w:hAnsi="Arial Unicode MS" w:cs="Arial Unicode MS"/>
          <w:b/>
          <w:sz w:val="24"/>
          <w:szCs w:val="24"/>
          <w:u w:val="single"/>
        </w:rPr>
        <w:t xml:space="preserve">, realizando el sujeto obligado una breve explicación y/o fundamentación del </w:t>
      </w:r>
      <w:r>
        <w:rPr>
          <w:rFonts w:ascii="Arial Unicode MS" w:eastAsia="Arial Unicode MS" w:hAnsi="Arial Unicode MS" w:cs="Arial Unicode MS"/>
          <w:b/>
          <w:sz w:val="24"/>
          <w:szCs w:val="24"/>
          <w:u w:val="single"/>
        </w:rPr>
        <w:lastRenderedPageBreak/>
        <w:t>mencionado análisis y los motivos de la asignación del riesgo,</w:t>
      </w:r>
      <w:r>
        <w:rPr>
          <w:rFonts w:ascii="Arial Unicode MS" w:eastAsia="Arial Unicode MS" w:hAnsi="Arial Unicode MS" w:cs="Arial Unicode MS"/>
          <w:sz w:val="24"/>
          <w:szCs w:val="24"/>
        </w:rPr>
        <w:t xml:space="preserve"> a los efectos de poder demostrar que las medidas adoptadas tienen un alcance adecuado.</w:t>
      </w:r>
    </w:p>
    <w:p w:rsidR="008C6179" w:rsidRDefault="008C6179" w:rsidP="008C6179">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Del mismo podrá dejarse constancia tanto en el recuadro de “Observaciones” que obra en los respectivos Formularios o adjuntarse a éste un Anexo explicativo.</w:t>
      </w:r>
    </w:p>
    <w:p w:rsidR="004A1220" w:rsidRDefault="004A1220">
      <w:pPr>
        <w:jc w:val="both"/>
        <w:rPr>
          <w:rFonts w:ascii="Arial Unicode MS" w:eastAsia="Arial Unicode MS" w:hAnsi="Arial Unicode MS" w:cs="Arial Unicode MS"/>
          <w:sz w:val="24"/>
          <w:szCs w:val="24"/>
        </w:rPr>
      </w:pPr>
    </w:p>
    <w:p w:rsidR="00545FE1" w:rsidRDefault="00562CF7">
      <w:pPr>
        <w:jc w:val="center"/>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SITUACIONES ESPECIALES:</w:t>
      </w:r>
    </w:p>
    <w:p w:rsidR="00545FE1" w:rsidRDefault="00562CF7">
      <w:pPr>
        <w:jc w:val="both"/>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rPr>
        <w:t xml:space="preserve"> </w:t>
      </w:r>
      <w:r>
        <w:rPr>
          <w:rFonts w:ascii="Arial Unicode MS" w:eastAsia="Arial Unicode MS" w:hAnsi="Arial Unicode MS" w:cs="Arial Unicode MS"/>
          <w:b/>
          <w:sz w:val="24"/>
          <w:szCs w:val="24"/>
          <w:u w:val="single"/>
        </w:rPr>
        <w:t>Fideicomisos, Fundaciones y Asociaciones civiles:</w:t>
      </w:r>
    </w:p>
    <w:p w:rsidR="00545FE1" w:rsidRDefault="00562CF7">
      <w:pPr>
        <w:jc w:val="both"/>
        <w:rPr>
          <w:rFonts w:ascii="Arial Unicode MS" w:eastAsia="Arial Unicode MS" w:hAnsi="Arial Unicode MS" w:cs="Arial Unicode MS"/>
          <w:b/>
          <w:sz w:val="24"/>
          <w:szCs w:val="24"/>
          <w:u w:val="single"/>
        </w:rPr>
      </w:pPr>
      <w:r>
        <w:rPr>
          <w:rFonts w:ascii="Arial Unicode MS" w:eastAsia="Arial Unicode MS" w:hAnsi="Arial Unicode MS" w:cs="Arial Unicode MS"/>
          <w:sz w:val="24"/>
          <w:szCs w:val="24"/>
        </w:rPr>
        <w:t xml:space="preserve">Conforme a lo establecido en el numeral 2 del literal B) del artículo 44 del Decreto 379/018, cuando se trate de clientes Fideicomisos, Fundaciones y Asociaciones Civiles, se deberá requerir los mismos requisitos que para las Personas Jurídicas, previstos en el </w:t>
      </w:r>
      <w:r w:rsidR="00CD5B73">
        <w:rPr>
          <w:rFonts w:ascii="Arial Unicode MS" w:eastAsia="Arial Unicode MS" w:hAnsi="Arial Unicode MS" w:cs="Arial Unicode MS"/>
          <w:sz w:val="24"/>
          <w:szCs w:val="24"/>
        </w:rPr>
        <w:t xml:space="preserve">numeral 1 </w:t>
      </w:r>
      <w:r>
        <w:rPr>
          <w:rFonts w:ascii="Arial Unicode MS" w:eastAsia="Arial Unicode MS" w:hAnsi="Arial Unicode MS" w:cs="Arial Unicode MS"/>
          <w:sz w:val="24"/>
          <w:szCs w:val="24"/>
        </w:rPr>
        <w:t xml:space="preserve">de los formularios de debida diligencia normal e intensificada según corresponda, aplicándose asimismo el límite mínimo del 15% (quince por ciento). </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En los casos en que no corresponda hacer debida diligencia intensificada, a los efectos de cumplir con la debida diligencia se admitirá una carta del administrador del Fideicomiso o patrimonio de afectación independiente, declarando que realizó satisfactoriamente los procedimientos de debida diligencia. En dicha carta deberá constar el origen de los fondos aportados, así como el beneficiario final identificado. </w:t>
      </w:r>
    </w:p>
    <w:p w:rsidR="005160EA" w:rsidRDefault="005160EA">
      <w:pPr>
        <w:jc w:val="both"/>
        <w:rPr>
          <w:rFonts w:ascii="Arial Unicode MS" w:eastAsia="Arial Unicode MS" w:hAnsi="Arial Unicode MS" w:cs="Arial Unicode MS"/>
          <w:sz w:val="24"/>
          <w:szCs w:val="24"/>
        </w:rPr>
      </w:pPr>
    </w:p>
    <w:p w:rsidR="005160EA" w:rsidRDefault="005160EA">
      <w:pPr>
        <w:jc w:val="both"/>
        <w:rPr>
          <w:rFonts w:ascii="Arial Unicode MS" w:eastAsia="Arial Unicode MS" w:hAnsi="Arial Unicode MS" w:cs="Arial Unicode MS"/>
          <w:sz w:val="24"/>
          <w:szCs w:val="24"/>
        </w:rPr>
      </w:pPr>
      <w:bookmarkStart w:id="0" w:name="_GoBack"/>
      <w:bookmarkEnd w:id="0"/>
    </w:p>
    <w:p w:rsidR="00545FE1" w:rsidRDefault="00562CF7">
      <w:pPr>
        <w:jc w:val="center"/>
      </w:pPr>
      <w:r>
        <w:rPr>
          <w:rFonts w:ascii="Arial Unicode MS" w:eastAsia="Arial Unicode MS" w:hAnsi="Arial Unicode MS" w:cs="Arial Unicode MS"/>
          <w:b/>
          <w:sz w:val="24"/>
          <w:szCs w:val="24"/>
          <w:u w:val="single"/>
        </w:rPr>
        <w:lastRenderedPageBreak/>
        <w:t>Momento en que debe realizarse la Debida Diligencia de Cliente:</w:t>
      </w:r>
    </w:p>
    <w:p w:rsidR="00545FE1" w:rsidRDefault="00562CF7">
      <w:pPr>
        <w:pStyle w:val="Prrafodelista"/>
        <w:tabs>
          <w:tab w:val="left" w:pos="0"/>
        </w:tabs>
        <w:spacing w:before="240"/>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La debida diligencia de cliente se debe realizar antes o durante el establecimiento de la relación comercial o al realizar transacciones para clientes ocasionales.</w:t>
      </w:r>
    </w:p>
    <w:p w:rsidR="00BF3B76" w:rsidRDefault="00BF3B76" w:rsidP="00BF3B76">
      <w:pPr>
        <w:pStyle w:val="Prrafodelista"/>
        <w:tabs>
          <w:tab w:val="left" w:pos="0"/>
        </w:tabs>
        <w:spacing w:before="240"/>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Sin perjuicio de lo anterior, tratándose de relaciones comerciales de carácter permanente, el sujeto obligado deberá realizar de acuerdo a un enfoque basado en riesgos, un seguimiento continuo de la relación comercial y examinar las operaciones, de modo de asegurarse que las mismas sean consistentes con la información de conocimiento de cliente obtenida previamente y el perfil de riesgo asignado al mismo. Asimismo, en las medidas de debida diligencia intensificadas, deberá aumentar la frecuencia de actualización de conocimiento de cliente y realizar un seguimiento más intenso de la relación comercial. </w:t>
      </w:r>
    </w:p>
    <w:p w:rsidR="00545FE1" w:rsidRDefault="00545FE1">
      <w:pPr>
        <w:pStyle w:val="Prrafodelista"/>
        <w:tabs>
          <w:tab w:val="left" w:pos="0"/>
        </w:tabs>
        <w:spacing w:before="240"/>
        <w:ind w:left="0"/>
        <w:jc w:val="both"/>
        <w:rPr>
          <w:rFonts w:ascii="Arial Unicode MS" w:eastAsia="Arial Unicode MS" w:hAnsi="Arial Unicode MS" w:cs="Arial Unicode MS"/>
          <w:sz w:val="24"/>
          <w:szCs w:val="24"/>
        </w:rPr>
      </w:pPr>
    </w:p>
    <w:p w:rsidR="00545FE1" w:rsidRDefault="00562CF7" w:rsidP="00CD5B73">
      <w:pPr>
        <w:pStyle w:val="Prrafodelista"/>
        <w:tabs>
          <w:tab w:val="left" w:pos="0"/>
        </w:tabs>
        <w:spacing w:before="240"/>
        <w:ind w:left="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Obligación de Reporte de Operación Sospechosa:</w:t>
      </w:r>
    </w:p>
    <w:p w:rsidR="00545FE1" w:rsidRDefault="00562CF7">
      <w:pPr>
        <w:pStyle w:val="Prrafodelista"/>
        <w:tabs>
          <w:tab w:val="left" w:pos="0"/>
        </w:tabs>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deberá informar a la Unidad de Información y Análisis Financiero del Banco Central del Uruguay, las transacciones realizadas o no, que en los usos y costumbres de la respectiva actividad resulten inusuales, se presenten sin justificación económica o legal evidente o se planteen con una complejidad inusitada o injustificada, así como las transacciones que involucren activos sobre cuya procedencia existan sospechas de ilicitud, a efectos de prevenir los delitos de lavado de activos tipificados en los artículos 30 a 33 de la Ley N° 19.574 y de prevenir el delito de financiamiento del terrorismo. En este último caso, la obligación de reporte alcanza incluso a aquellas operaciones que involucren activos lícitos, pero se sospeche que están vinculadas a las personas físicas o </w:t>
      </w:r>
      <w:r>
        <w:rPr>
          <w:rFonts w:ascii="Arial Unicode MS" w:eastAsia="Arial Unicode MS" w:hAnsi="Arial Unicode MS" w:cs="Arial Unicode MS"/>
          <w:sz w:val="24"/>
          <w:szCs w:val="24"/>
        </w:rPr>
        <w:lastRenderedPageBreak/>
        <w:t>jurídicas comprendidas en dicho delito o destinados a financiar cualquier actividad terrorista. (Art. 12 y 13 de la Ley 19.574 y 89 del Decreto 379/018).</w:t>
      </w:r>
    </w:p>
    <w:p w:rsidR="00545FE1" w:rsidRDefault="00BF3B76">
      <w:pPr>
        <w:pStyle w:val="Prrafodelista"/>
        <w:tabs>
          <w:tab w:val="left" w:pos="0"/>
        </w:tabs>
        <w:ind w:left="0"/>
        <w:jc w:val="both"/>
        <w:rPr>
          <w:rFonts w:ascii="Arial Unicode MS" w:eastAsia="Arial Unicode MS" w:hAnsi="Arial Unicode MS" w:cs="Arial Unicode MS"/>
          <w:b/>
          <w:sz w:val="24"/>
          <w:szCs w:val="24"/>
          <w:u w:val="single"/>
        </w:rPr>
      </w:pPr>
      <w:r>
        <w:rPr>
          <w:rFonts w:ascii="Arial Unicode MS" w:eastAsia="Arial Unicode MS" w:hAnsi="Arial Unicode MS" w:cs="Arial Unicode MS"/>
          <w:sz w:val="24"/>
          <w:szCs w:val="24"/>
        </w:rPr>
        <w:t>Asimismo, los sujetos obligados que han efectuado un congelamiento preventivo conforme al artículo 4 de la Ley 19.749, de 15 de mayo de 2019, lo deberán notificar de inmediato a la UIAF del BCU, de acuerdo a lo previsto en el precitado artículo.</w:t>
      </w:r>
    </w:p>
    <w:p w:rsidR="00896307" w:rsidRDefault="00896307">
      <w:pPr>
        <w:pStyle w:val="Prrafodelista"/>
        <w:tabs>
          <w:tab w:val="left" w:pos="0"/>
        </w:tabs>
        <w:ind w:left="0"/>
        <w:jc w:val="center"/>
        <w:rPr>
          <w:rFonts w:ascii="Arial Unicode MS" w:eastAsia="Arial Unicode MS" w:hAnsi="Arial Unicode MS" w:cs="Arial Unicode MS"/>
          <w:b/>
          <w:sz w:val="24"/>
          <w:szCs w:val="24"/>
          <w:u w:val="single"/>
        </w:rPr>
      </w:pPr>
    </w:p>
    <w:p w:rsidR="00545FE1" w:rsidRDefault="00562CF7">
      <w:pPr>
        <w:pStyle w:val="Prrafodelista"/>
        <w:tabs>
          <w:tab w:val="left" w:pos="0"/>
        </w:tabs>
        <w:ind w:left="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Conservación de la documentación:</w:t>
      </w:r>
    </w:p>
    <w:p w:rsidR="00545FE1" w:rsidRPr="00CD5B73" w:rsidRDefault="00562CF7">
      <w:pPr>
        <w:pStyle w:val="Prrafodelista"/>
        <w:tabs>
          <w:tab w:val="left" w:pos="0"/>
        </w:tabs>
        <w:ind w:left="0"/>
        <w:jc w:val="both"/>
        <w:rPr>
          <w:rFonts w:ascii="Arial Unicode MS" w:eastAsia="Arial Unicode MS" w:hAnsi="Arial Unicode MS" w:cs="Arial Unicode MS"/>
          <w:sz w:val="24"/>
          <w:szCs w:val="24"/>
          <w:u w:val="single"/>
        </w:rPr>
      </w:pPr>
      <w:r>
        <w:rPr>
          <w:rFonts w:ascii="Arial Unicode MS" w:eastAsia="Arial Unicode MS" w:hAnsi="Arial Unicode MS" w:cs="Arial Unicode MS"/>
          <w:sz w:val="24"/>
          <w:szCs w:val="24"/>
        </w:rPr>
        <w:t xml:space="preserve">Se deberá conservar los registros y la documentación </w:t>
      </w:r>
      <w:proofErr w:type="spellStart"/>
      <w:r>
        <w:rPr>
          <w:rFonts w:ascii="Arial Unicode MS" w:eastAsia="Arial Unicode MS" w:hAnsi="Arial Unicode MS" w:cs="Arial Unicode MS"/>
          <w:sz w:val="24"/>
          <w:szCs w:val="24"/>
        </w:rPr>
        <w:t>respaldante</w:t>
      </w:r>
      <w:proofErr w:type="spellEnd"/>
      <w:r>
        <w:rPr>
          <w:rFonts w:ascii="Arial Unicode MS" w:eastAsia="Arial Unicode MS" w:hAnsi="Arial Unicode MS" w:cs="Arial Unicode MS"/>
          <w:sz w:val="24"/>
          <w:szCs w:val="24"/>
        </w:rPr>
        <w:t xml:space="preserve"> de todas las operaciones realizadas con sus clientes o para sus clientes, tanto nacionales como internacionales, las evaluaciones de riesgos de lavado de activos, financiamiento del terrorismo y proliferación de armas de destrucción masiva que se hubieren realizado, así como los procedimientos de debida diligencia efectuados según se señaló anteriormente, y toda la información y documentación obtenida, </w:t>
      </w:r>
      <w:r w:rsidR="004D5EB5" w:rsidRPr="004D5EB5">
        <w:rPr>
          <w:rFonts w:ascii="Arial Unicode MS" w:eastAsia="Arial Unicode MS" w:hAnsi="Arial Unicode MS" w:cs="Arial Unicode MS"/>
          <w:sz w:val="24"/>
          <w:szCs w:val="24"/>
          <w:u w:val="single"/>
        </w:rPr>
        <w:t>por un plazo mínimo de cinco años después de terminada la relación comercial o de concretada la operación ocasional.</w:t>
      </w:r>
    </w:p>
    <w:p w:rsidR="00545FE1" w:rsidRDefault="00562CF7">
      <w:pP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Marco Normativo esp</w:t>
      </w:r>
      <w:r w:rsidR="00E15820">
        <w:rPr>
          <w:rFonts w:ascii="Arial Unicode MS" w:eastAsia="Arial Unicode MS" w:hAnsi="Arial Unicode MS" w:cs="Arial Unicode MS"/>
          <w:sz w:val="20"/>
          <w:szCs w:val="20"/>
        </w:rPr>
        <w:t>ecífico del Sector: Artículos 41</w:t>
      </w:r>
      <w:r>
        <w:rPr>
          <w:rFonts w:ascii="Arial Unicode MS" w:eastAsia="Arial Unicode MS" w:hAnsi="Arial Unicode MS" w:cs="Arial Unicode MS"/>
          <w:sz w:val="20"/>
          <w:szCs w:val="20"/>
        </w:rPr>
        <w:t xml:space="preserve"> al 49 del Decreto 379/018.</w:t>
      </w:r>
    </w:p>
    <w:p w:rsidR="00545FE1" w:rsidRDefault="00545FE1">
      <w:pPr>
        <w:pStyle w:val="Prrafodelista"/>
        <w:tabs>
          <w:tab w:val="left" w:pos="0"/>
        </w:tabs>
        <w:ind w:left="0"/>
        <w:jc w:val="both"/>
        <w:rPr>
          <w:rFonts w:ascii="Arial Unicode MS" w:eastAsia="Arial Unicode MS" w:hAnsi="Arial Unicode MS" w:cs="Arial Unicode MS"/>
          <w:sz w:val="24"/>
          <w:szCs w:val="24"/>
        </w:rPr>
      </w:pPr>
    </w:p>
    <w:sectPr w:rsidR="00545FE1" w:rsidSect="0037795B">
      <w:headerReference w:type="default" r:id="rId7"/>
      <w:pgSz w:w="11906" w:h="16838"/>
      <w:pgMar w:top="1417" w:right="1701" w:bottom="1417" w:left="1701" w:header="72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138" w:rsidRDefault="00E63138">
      <w:pPr>
        <w:spacing w:after="0" w:line="240" w:lineRule="auto"/>
      </w:pPr>
      <w:r>
        <w:separator/>
      </w:r>
    </w:p>
  </w:endnote>
  <w:endnote w:type="continuationSeparator" w:id="0">
    <w:p w:rsidR="00E63138" w:rsidRDefault="00E63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138" w:rsidRDefault="00E63138">
      <w:pPr>
        <w:spacing w:after="0" w:line="240" w:lineRule="auto"/>
      </w:pPr>
      <w:r>
        <w:separator/>
      </w:r>
    </w:p>
  </w:footnote>
  <w:footnote w:type="continuationSeparator" w:id="0">
    <w:p w:rsidR="00E63138" w:rsidRDefault="00E631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FE1" w:rsidRDefault="00562CF7">
    <w:pPr>
      <w:pStyle w:val="Encabezado"/>
    </w:pPr>
    <w:r>
      <w:rPr>
        <w:noProof/>
        <w:lang w:val="es-ES" w:eastAsia="es-ES"/>
      </w:rPr>
      <w:drawing>
        <wp:inline distT="0" distB="0" distL="0" distR="0">
          <wp:extent cx="5400040" cy="1697990"/>
          <wp:effectExtent l="0" t="0" r="0" b="0"/>
          <wp:docPr id="1" name="0 Imagen" descr="LOGO_PRESDENCIA_senacla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 Imagen" descr="LOGO_PRESDENCIA_senaclaft.jpg"/>
                  <pic:cNvPicPr>
                    <a:picLocks noChangeAspect="1" noChangeArrowheads="1"/>
                  </pic:cNvPicPr>
                </pic:nvPicPr>
                <pic:blipFill>
                  <a:blip r:embed="rId1"/>
                  <a:stretch>
                    <a:fillRect/>
                  </a:stretch>
                </pic:blipFill>
                <pic:spPr bwMode="auto">
                  <a:xfrm>
                    <a:off x="0" y="0"/>
                    <a:ext cx="5400040" cy="16979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FE1"/>
    <w:rsid w:val="00033C37"/>
    <w:rsid w:val="00183633"/>
    <w:rsid w:val="0026068D"/>
    <w:rsid w:val="00370B27"/>
    <w:rsid w:val="0037795B"/>
    <w:rsid w:val="004200DA"/>
    <w:rsid w:val="004449B7"/>
    <w:rsid w:val="004A1220"/>
    <w:rsid w:val="004B0579"/>
    <w:rsid w:val="004D5EB5"/>
    <w:rsid w:val="005160EA"/>
    <w:rsid w:val="00545FE1"/>
    <w:rsid w:val="00550367"/>
    <w:rsid w:val="00562CF7"/>
    <w:rsid w:val="005872A5"/>
    <w:rsid w:val="005D2BB3"/>
    <w:rsid w:val="006D5810"/>
    <w:rsid w:val="00757536"/>
    <w:rsid w:val="007F6FE4"/>
    <w:rsid w:val="00815822"/>
    <w:rsid w:val="00883440"/>
    <w:rsid w:val="008910C7"/>
    <w:rsid w:val="00896307"/>
    <w:rsid w:val="00897F3A"/>
    <w:rsid w:val="008C6179"/>
    <w:rsid w:val="00951C4A"/>
    <w:rsid w:val="009A5F5D"/>
    <w:rsid w:val="00A412D3"/>
    <w:rsid w:val="00AC142B"/>
    <w:rsid w:val="00AE251E"/>
    <w:rsid w:val="00AE7377"/>
    <w:rsid w:val="00BF3B76"/>
    <w:rsid w:val="00C37B55"/>
    <w:rsid w:val="00CC3655"/>
    <w:rsid w:val="00CD5B73"/>
    <w:rsid w:val="00CF1D35"/>
    <w:rsid w:val="00D66976"/>
    <w:rsid w:val="00DA7B94"/>
    <w:rsid w:val="00DC19FC"/>
    <w:rsid w:val="00E15820"/>
    <w:rsid w:val="00E57B1E"/>
    <w:rsid w:val="00E63138"/>
    <w:rsid w:val="00EF3AC4"/>
    <w:rsid w:val="00F13491"/>
    <w:rsid w:val="00F56D47"/>
    <w:rsid w:val="00F75595"/>
    <w:rsid w:val="00FB3AEA"/>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BFCC8"/>
  <w15:docId w15:val="{7BBCD89A-8588-4590-9769-DC98EC922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D6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semiHidden/>
    <w:qFormat/>
    <w:rsid w:val="00753501"/>
  </w:style>
  <w:style w:type="character" w:customStyle="1" w:styleId="PiedepginaCar">
    <w:name w:val="Pie de página Car"/>
    <w:basedOn w:val="Fuentedeprrafopredeter"/>
    <w:link w:val="Piedepgina"/>
    <w:uiPriority w:val="99"/>
    <w:semiHidden/>
    <w:qFormat/>
    <w:rsid w:val="00753501"/>
  </w:style>
  <w:style w:type="character" w:customStyle="1" w:styleId="TextodegloboCar">
    <w:name w:val="Texto de globo Car"/>
    <w:basedOn w:val="Fuentedeprrafopredeter"/>
    <w:link w:val="Textodeglobo"/>
    <w:uiPriority w:val="99"/>
    <w:semiHidden/>
    <w:qFormat/>
    <w:rsid w:val="00753501"/>
    <w:rPr>
      <w:rFonts w:ascii="Tahoma" w:hAnsi="Tahoma" w:cs="Tahoma"/>
      <w:sz w:val="16"/>
      <w:szCs w:val="16"/>
    </w:rPr>
  </w:style>
  <w:style w:type="character" w:customStyle="1" w:styleId="EnlacedeInternet">
    <w:name w:val="Enlace de Internet"/>
    <w:basedOn w:val="Fuentedeprrafopredeter"/>
    <w:uiPriority w:val="99"/>
    <w:unhideWhenUsed/>
    <w:rsid w:val="00D11D62"/>
    <w:rPr>
      <w:color w:val="0000FF" w:themeColor="hyperlink"/>
      <w:u w:val="single"/>
    </w:rPr>
  </w:style>
  <w:style w:type="paragraph" w:styleId="Ttulo">
    <w:name w:val="Title"/>
    <w:basedOn w:val="Normal"/>
    <w:next w:val="Textoindependiente"/>
    <w:qFormat/>
    <w:rsid w:val="0037795B"/>
    <w:pPr>
      <w:keepNext/>
      <w:spacing w:before="240" w:after="120"/>
    </w:pPr>
    <w:rPr>
      <w:rFonts w:ascii="Liberation Sans" w:eastAsia="Microsoft YaHei" w:hAnsi="Liberation Sans" w:cs="Arial"/>
      <w:sz w:val="28"/>
      <w:szCs w:val="28"/>
    </w:rPr>
  </w:style>
  <w:style w:type="paragraph" w:styleId="Textoindependiente">
    <w:name w:val="Body Text"/>
    <w:basedOn w:val="Normal"/>
    <w:rsid w:val="0037795B"/>
    <w:pPr>
      <w:spacing w:after="140"/>
    </w:pPr>
  </w:style>
  <w:style w:type="paragraph" w:styleId="Lista">
    <w:name w:val="List"/>
    <w:basedOn w:val="Textoindependiente"/>
    <w:rsid w:val="0037795B"/>
    <w:rPr>
      <w:rFonts w:cs="Arial"/>
    </w:rPr>
  </w:style>
  <w:style w:type="paragraph" w:styleId="Descripcin">
    <w:name w:val="caption"/>
    <w:basedOn w:val="Normal"/>
    <w:qFormat/>
    <w:rsid w:val="0037795B"/>
    <w:pPr>
      <w:suppressLineNumbers/>
      <w:spacing w:before="120" w:after="120"/>
    </w:pPr>
    <w:rPr>
      <w:rFonts w:cs="Arial"/>
      <w:i/>
      <w:iCs/>
      <w:sz w:val="24"/>
      <w:szCs w:val="24"/>
    </w:rPr>
  </w:style>
  <w:style w:type="paragraph" w:customStyle="1" w:styleId="ndice">
    <w:name w:val="Índice"/>
    <w:basedOn w:val="Normal"/>
    <w:qFormat/>
    <w:rsid w:val="0037795B"/>
    <w:pPr>
      <w:suppressLineNumbers/>
    </w:pPr>
    <w:rPr>
      <w:rFonts w:cs="Arial"/>
    </w:rPr>
  </w:style>
  <w:style w:type="paragraph" w:customStyle="1" w:styleId="Cabeceraypie">
    <w:name w:val="Cabecera y pie"/>
    <w:basedOn w:val="Normal"/>
    <w:qFormat/>
    <w:rsid w:val="0037795B"/>
  </w:style>
  <w:style w:type="paragraph" w:styleId="Encabezado">
    <w:name w:val="header"/>
    <w:basedOn w:val="Normal"/>
    <w:link w:val="EncabezadoCar"/>
    <w:uiPriority w:val="99"/>
    <w:semiHidden/>
    <w:unhideWhenUsed/>
    <w:rsid w:val="00753501"/>
    <w:pPr>
      <w:tabs>
        <w:tab w:val="center" w:pos="4252"/>
        <w:tab w:val="right" w:pos="8504"/>
      </w:tabs>
      <w:spacing w:after="0" w:line="240" w:lineRule="auto"/>
    </w:pPr>
  </w:style>
  <w:style w:type="paragraph" w:styleId="Piedepgina">
    <w:name w:val="footer"/>
    <w:basedOn w:val="Normal"/>
    <w:link w:val="PiedepginaCar"/>
    <w:uiPriority w:val="99"/>
    <w:semiHidden/>
    <w:unhideWhenUsed/>
    <w:rsid w:val="00753501"/>
    <w:pPr>
      <w:tabs>
        <w:tab w:val="center" w:pos="4252"/>
        <w:tab w:val="right" w:pos="8504"/>
      </w:tabs>
      <w:spacing w:after="0" w:line="240" w:lineRule="auto"/>
    </w:pPr>
  </w:style>
  <w:style w:type="paragraph" w:styleId="Textodeglobo">
    <w:name w:val="Balloon Text"/>
    <w:basedOn w:val="Normal"/>
    <w:link w:val="TextodegloboCar"/>
    <w:uiPriority w:val="99"/>
    <w:semiHidden/>
    <w:unhideWhenUsed/>
    <w:qFormat/>
    <w:rsid w:val="00753501"/>
    <w:pPr>
      <w:spacing w:after="0" w:line="240" w:lineRule="auto"/>
    </w:pPr>
    <w:rPr>
      <w:rFonts w:ascii="Tahoma" w:hAnsi="Tahoma" w:cs="Tahoma"/>
      <w:sz w:val="16"/>
      <w:szCs w:val="16"/>
    </w:rPr>
  </w:style>
  <w:style w:type="paragraph" w:styleId="Prrafodelista">
    <w:name w:val="List Paragraph"/>
    <w:basedOn w:val="Normal"/>
    <w:uiPriority w:val="34"/>
    <w:qFormat/>
    <w:rsid w:val="00FC09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C86CD-F8CF-48EF-9331-958193D63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2493</Words>
  <Characters>13714</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Presidencia de la Republica Oriental del Uruguay</Company>
  <LinksUpToDate>false</LinksUpToDate>
  <CharactersWithSpaces>16175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RKohn</dc:creator>
  <cp:lastModifiedBy>mariana.herrera</cp:lastModifiedBy>
  <cp:revision>6</cp:revision>
  <dcterms:created xsi:type="dcterms:W3CDTF">2021-09-15T19:46:00Z</dcterms:created>
  <dcterms:modified xsi:type="dcterms:W3CDTF">2021-10-08T14:32:00Z</dcterms:modified>
  <dc:language>es-UY</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